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8C3C" w14:textId="2217E421" w:rsidR="00266698" w:rsidRDefault="0010063F">
      <w:r>
        <w:t>ETHICS AND PROFESSIONAL PRACTICE FOR PARALEGALS</w:t>
      </w:r>
      <w:r w:rsidR="00266698">
        <w:t>, 5</w:t>
      </w:r>
      <w:r w:rsidR="00266698" w:rsidRPr="00266698">
        <w:rPr>
          <w:vertAlign w:val="superscript"/>
        </w:rPr>
        <w:t>TH</w:t>
      </w:r>
      <w:r w:rsidR="00266698">
        <w:t xml:space="preserve"> EDITION</w:t>
      </w:r>
      <w:r w:rsidR="00266698">
        <w:br/>
        <w:t xml:space="preserve">ISBN: </w:t>
      </w:r>
      <w:r w:rsidR="00266698" w:rsidRPr="00266698">
        <w:t>978-1-77255-644-5</w:t>
      </w:r>
    </w:p>
    <w:p w14:paraId="5C505014" w14:textId="4BFB1635" w:rsidR="00266698" w:rsidRDefault="00266698" w:rsidP="00266698">
      <w:r>
        <w:t>JUNE 3</w:t>
      </w:r>
      <w:r w:rsidRPr="00A427F0">
        <w:rPr>
          <w:vertAlign w:val="superscript"/>
        </w:rPr>
        <w:t>rd</w:t>
      </w:r>
      <w:r>
        <w:t xml:space="preserve">, 2021 </w:t>
      </w:r>
    </w:p>
    <w:p w14:paraId="1D3AAD2E" w14:textId="77777777" w:rsidR="00266698" w:rsidRDefault="00266698" w:rsidP="00266698">
      <w:r>
        <w:t xml:space="preserve">CHANGES TO THE RULES REGARDING CONTINGENCY FEES </w:t>
      </w:r>
    </w:p>
    <w:p w14:paraId="1B971755" w14:textId="6BEAE0FD" w:rsidR="00A71CB8" w:rsidRDefault="003C061F">
      <w:r>
        <w:t xml:space="preserve">     </w:t>
      </w:r>
      <w:r w:rsidR="005B1590">
        <w:t xml:space="preserve">This update refers to the material </w:t>
      </w:r>
      <w:r w:rsidR="007D2FF8">
        <w:t>in</w:t>
      </w:r>
      <w:r w:rsidR="005B1590">
        <w:t xml:space="preserve"> Chapter 7</w:t>
      </w:r>
      <w:r w:rsidR="00FA755F">
        <w:t xml:space="preserve"> regarding contingency fees </w:t>
      </w:r>
      <w:r w:rsidR="007D2FF8">
        <w:t>on</w:t>
      </w:r>
      <w:r>
        <w:t xml:space="preserve"> </w:t>
      </w:r>
      <w:r w:rsidR="005B1590">
        <w:t>pages 247 to 249</w:t>
      </w:r>
      <w:r w:rsidR="0010063F">
        <w:t xml:space="preserve">, beginning with the last paragraph on page 247 (“The Solicitors Act, Regulation 195/04: Contingency Fee Arrangements”) and ending with paragraph 4(1) “Matters not to be included in contingency fee agreements” </w:t>
      </w:r>
      <w:r w:rsidR="007D2FF8">
        <w:t>on</w:t>
      </w:r>
      <w:r w:rsidR="0010063F">
        <w:t xml:space="preserve"> page 249. </w:t>
      </w:r>
      <w:r w:rsidR="00A71CB8">
        <w:t>Effective July 1, 2021, that material is revoked</w:t>
      </w:r>
      <w:r w:rsidR="002F2BFA">
        <w:t>. It i</w:t>
      </w:r>
      <w:r w:rsidR="00A71CB8">
        <w:t xml:space="preserve">s replaced by </w:t>
      </w:r>
      <w:hyperlink r:id="rId5" w:history="1">
        <w:r w:rsidR="00A6025C">
          <w:rPr>
            <w:rStyle w:val="Hyperlink"/>
          </w:rPr>
          <w:t xml:space="preserve">O Reg </w:t>
        </w:r>
        <w:r w:rsidR="00A71CB8" w:rsidRPr="002272DF">
          <w:rPr>
            <w:rStyle w:val="Hyperlink"/>
          </w:rPr>
          <w:t>563/20</w:t>
        </w:r>
      </w:hyperlink>
      <w:r w:rsidR="00A71CB8">
        <w:t>.</w:t>
      </w:r>
    </w:p>
    <w:p w14:paraId="5A983588" w14:textId="6944E246" w:rsidR="00305091" w:rsidRDefault="003C061F">
      <w:r>
        <w:t xml:space="preserve">     Among other things, </w:t>
      </w:r>
      <w:hyperlink r:id="rId6" w:history="1">
        <w:r w:rsidRPr="002272DF">
          <w:rPr>
            <w:rStyle w:val="Hyperlink"/>
          </w:rPr>
          <w:t>O Reg 563/20</w:t>
        </w:r>
      </w:hyperlink>
      <w:r w:rsidR="00146955">
        <w:t xml:space="preserve"> extends the provisions on contingency fee agreements in the </w:t>
      </w:r>
      <w:r w:rsidR="00146955" w:rsidRPr="00266698">
        <w:rPr>
          <w:i/>
          <w:iCs/>
        </w:rPr>
        <w:t>Solicitors Act</w:t>
      </w:r>
      <w:r w:rsidR="00146955">
        <w:t xml:space="preserve"> and O Reg 563/20 to paralegal licensees.</w:t>
      </w:r>
      <w:r w:rsidR="007D2FF8">
        <w:t xml:space="preserve"> </w:t>
      </w:r>
      <w:r w:rsidR="008B4405">
        <w:t>The regulation requires a p</w:t>
      </w:r>
      <w:r w:rsidR="00146955">
        <w:t>aralegal who enter</w:t>
      </w:r>
      <w:r w:rsidR="008B4405">
        <w:t>s</w:t>
      </w:r>
      <w:r w:rsidR="00146955">
        <w:t xml:space="preserve"> into </w:t>
      </w:r>
      <w:r w:rsidR="008B4405">
        <w:t xml:space="preserve">a </w:t>
      </w:r>
      <w:r w:rsidR="00146955">
        <w:t xml:space="preserve">contingency fee agreement with </w:t>
      </w:r>
      <w:r w:rsidR="008B4405">
        <w:t xml:space="preserve">a </w:t>
      </w:r>
      <w:r w:rsidR="00146955">
        <w:t>client</w:t>
      </w:r>
      <w:r w:rsidR="008B4405">
        <w:t xml:space="preserve"> to </w:t>
      </w:r>
      <w:r>
        <w:t xml:space="preserve">use a </w:t>
      </w:r>
      <w:r w:rsidR="00A6025C">
        <w:t>s</w:t>
      </w:r>
      <w:r>
        <w:t xml:space="preserve">tandard </w:t>
      </w:r>
      <w:r w:rsidR="00A6025C">
        <w:t>f</w:t>
      </w:r>
      <w:r>
        <w:t>orm of Contingency Fee Agreement (“</w:t>
      </w:r>
      <w:r w:rsidR="00A6025C">
        <w:t>s</w:t>
      </w:r>
      <w:r>
        <w:t xml:space="preserve">tandard </w:t>
      </w:r>
      <w:r w:rsidR="00A6025C">
        <w:t>f</w:t>
      </w:r>
      <w:r>
        <w:t>orm CFA”).</w:t>
      </w:r>
      <w:r w:rsidR="007D2FF8">
        <w:t xml:space="preserve"> </w:t>
      </w:r>
      <w:r w:rsidR="008B4405">
        <w:t xml:space="preserve">A </w:t>
      </w:r>
      <w:r w:rsidR="00A6025C">
        <w:t>s</w:t>
      </w:r>
      <w:r w:rsidR="008B4405">
        <w:t xml:space="preserve">tandard </w:t>
      </w:r>
      <w:r w:rsidR="00A6025C">
        <w:t>f</w:t>
      </w:r>
      <w:r w:rsidR="008B4405">
        <w:t xml:space="preserve">orm CFA </w:t>
      </w:r>
      <w:proofErr w:type="gramStart"/>
      <w:r w:rsidR="008B4405">
        <w:t>entered into</w:t>
      </w:r>
      <w:proofErr w:type="gramEnd"/>
      <w:r w:rsidR="008B4405">
        <w:t xml:space="preserve"> by a paralegal and a client shall</w:t>
      </w:r>
      <w:r w:rsidR="008E230D">
        <w:t>, among other things,</w:t>
      </w:r>
      <w:r w:rsidR="008B4405">
        <w:t xml:space="preserve"> not include a provision that</w:t>
      </w:r>
      <w:r w:rsidR="008E230D">
        <w:t>:</w:t>
      </w:r>
      <w:r w:rsidR="008B4405">
        <w:t xml:space="preserve"> requires a paralegal’s consent to abandoning, discontinuing, or settling a matter as instructed by the client</w:t>
      </w:r>
      <w:r w:rsidR="008E230D">
        <w:t xml:space="preserve">; prohibits a client from terminating the retainer or seeking other legal representation; or permits a paralegal to split their fee, except as set out in the </w:t>
      </w:r>
      <w:r w:rsidR="00A6025C" w:rsidRPr="00266698">
        <w:rPr>
          <w:i/>
          <w:iCs/>
        </w:rPr>
        <w:t>Paralegal</w:t>
      </w:r>
      <w:r w:rsidR="00A6025C">
        <w:t xml:space="preserve"> </w:t>
      </w:r>
      <w:r w:rsidR="008E230D" w:rsidRPr="00266698">
        <w:rPr>
          <w:i/>
          <w:iCs/>
        </w:rPr>
        <w:t>Rules of Conduct.</w:t>
      </w:r>
    </w:p>
    <w:p w14:paraId="5D86D517" w14:textId="12A9747F" w:rsidR="009D59DD" w:rsidRDefault="00DD7EEC">
      <w:r>
        <w:t xml:space="preserve">   </w:t>
      </w:r>
      <w:r w:rsidR="000E2237">
        <w:t xml:space="preserve">  </w:t>
      </w:r>
      <w:r w:rsidR="00F70641">
        <w:t>Some of t</w:t>
      </w:r>
      <w:r>
        <w:t>he purpose</w:t>
      </w:r>
      <w:r w:rsidR="00F70641">
        <w:t>s</w:t>
      </w:r>
      <w:r>
        <w:t xml:space="preserve"> of the changes to the contingency fee regime </w:t>
      </w:r>
      <w:r w:rsidR="007D2FF8">
        <w:t>are</w:t>
      </w:r>
      <w:r>
        <w:t xml:space="preserve"> to deal with flaws in the current contingency fee regime; enhance consumer protection; and facilitate access to justice.</w:t>
      </w:r>
      <w:r>
        <w:tab/>
      </w:r>
    </w:p>
    <w:p w14:paraId="069E6CCD" w14:textId="09E6E72F" w:rsidR="00DD7EEC" w:rsidRDefault="009D59DD">
      <w:r>
        <w:t xml:space="preserve">   Paralegals can find excellent information about the new framework at the </w:t>
      </w:r>
      <w:hyperlink r:id="rId7" w:history="1">
        <w:r w:rsidRPr="002272DF">
          <w:rPr>
            <w:rStyle w:val="Hyperlink"/>
          </w:rPr>
          <w:t>Law Society of Ontario website</w:t>
        </w:r>
      </w:hyperlink>
      <w:r>
        <w:t>.</w:t>
      </w:r>
      <w:r w:rsidR="007D2FF8">
        <w:t xml:space="preserve"> Please r</w:t>
      </w:r>
      <w:r>
        <w:t xml:space="preserve">efer to </w:t>
      </w:r>
      <w:hyperlink r:id="rId8" w:history="1">
        <w:r w:rsidRPr="002272DF">
          <w:rPr>
            <w:rStyle w:val="Hyperlink"/>
          </w:rPr>
          <w:t>Contingency Fee Reforms</w:t>
        </w:r>
      </w:hyperlink>
      <w:r>
        <w:t xml:space="preserve"> / </w:t>
      </w:r>
      <w:hyperlink r:id="rId9" w:history="1">
        <w:r w:rsidRPr="002272DF">
          <w:rPr>
            <w:rStyle w:val="Hyperlink"/>
          </w:rPr>
          <w:t>Frequently Asked Questions about Contingency Fees</w:t>
        </w:r>
      </w:hyperlink>
      <w:r>
        <w:t xml:space="preserve">.  </w:t>
      </w:r>
      <w:r w:rsidR="00DD7EEC">
        <w:t xml:space="preserve">  </w:t>
      </w:r>
    </w:p>
    <w:p w14:paraId="5F4DC071" w14:textId="2100C05D" w:rsidR="005B1590" w:rsidRDefault="005B1590"/>
    <w:p w14:paraId="7AD86D82" w14:textId="5BEE1660" w:rsidR="005B1590" w:rsidRDefault="005B1590"/>
    <w:p w14:paraId="57DD4E58" w14:textId="60136E44" w:rsidR="005B1590" w:rsidRDefault="005B1590"/>
    <w:p w14:paraId="647A20E9" w14:textId="3C4D6E4D" w:rsidR="005B1590" w:rsidRDefault="005B1590"/>
    <w:p w14:paraId="018D49C8" w14:textId="24542DE9" w:rsidR="005B1590" w:rsidRDefault="005B1590"/>
    <w:p w14:paraId="4C721C96" w14:textId="50BF7CC5" w:rsidR="005B1590" w:rsidRDefault="005B1590"/>
    <w:p w14:paraId="5D2284A8" w14:textId="77777777" w:rsidR="005B1590" w:rsidRDefault="005B1590"/>
    <w:sectPr w:rsidR="005B1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A7"/>
    <w:rsid w:val="000E2237"/>
    <w:rsid w:val="0010063F"/>
    <w:rsid w:val="00127084"/>
    <w:rsid w:val="00146955"/>
    <w:rsid w:val="002272DF"/>
    <w:rsid w:val="00266698"/>
    <w:rsid w:val="002F2BFA"/>
    <w:rsid w:val="00305091"/>
    <w:rsid w:val="003C061F"/>
    <w:rsid w:val="00532A52"/>
    <w:rsid w:val="005B1590"/>
    <w:rsid w:val="007D2FF8"/>
    <w:rsid w:val="008B4405"/>
    <w:rsid w:val="008E230D"/>
    <w:rsid w:val="009D59DD"/>
    <w:rsid w:val="00A43051"/>
    <w:rsid w:val="00A6025C"/>
    <w:rsid w:val="00A71CB8"/>
    <w:rsid w:val="00AA42A7"/>
    <w:rsid w:val="00AB3C70"/>
    <w:rsid w:val="00BA66F9"/>
    <w:rsid w:val="00C414D5"/>
    <w:rsid w:val="00D2604F"/>
    <w:rsid w:val="00DD7EEC"/>
    <w:rsid w:val="00F53768"/>
    <w:rsid w:val="00F70641"/>
    <w:rsid w:val="00F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A716"/>
  <w15:chartTrackingRefBased/>
  <w15:docId w15:val="{4398E57D-45DC-4312-98AF-88B6C042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2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0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25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0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o.ca/about-lso/initiatives/contingency-fee-refo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so.ca/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ntario.ca/laws/regulation/200563?search=solicitors+ac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ntario.ca/laws/regulation/2005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so.ca/lawyers/practice-supports-and-resources/topics/managing-money/fees-and-disbursements/contingency-fees/frequently-asked-questions-about-contingency-fees?lang=en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38FB-5D5C-497C-B776-EB1715DB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Vivian Quach</cp:lastModifiedBy>
  <cp:revision>17</cp:revision>
  <dcterms:created xsi:type="dcterms:W3CDTF">2021-06-01T13:44:00Z</dcterms:created>
  <dcterms:modified xsi:type="dcterms:W3CDTF">2021-06-03T15:34:00Z</dcterms:modified>
</cp:coreProperties>
</file>