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16EB" w14:textId="4D2D35F4" w:rsidR="00BC43EF" w:rsidRPr="002A3F26" w:rsidRDefault="00BC43EF" w:rsidP="00DF19AE">
      <w:pPr>
        <w:spacing w:after="0" w:line="240" w:lineRule="auto"/>
        <w:contextualSpacing/>
        <w:rPr>
          <w:b/>
          <w:bCs/>
          <w:i/>
          <w:iCs/>
        </w:rPr>
      </w:pPr>
      <w:r w:rsidRPr="002A3F26">
        <w:rPr>
          <w:b/>
          <w:bCs/>
        </w:rPr>
        <w:t>Update</w:t>
      </w:r>
      <w:r w:rsidRPr="002A3F26">
        <w:rPr>
          <w:b/>
          <w:bCs/>
        </w:rPr>
        <w:t xml:space="preserve"> to</w:t>
      </w:r>
      <w:r w:rsidRPr="002A3F26">
        <w:rPr>
          <w:b/>
          <w:bCs/>
        </w:rPr>
        <w:t xml:space="preserve"> </w:t>
      </w:r>
      <w:r w:rsidR="00DF19AE" w:rsidRPr="002A3F26">
        <w:rPr>
          <w:b/>
          <w:bCs/>
          <w:i/>
          <w:iCs/>
        </w:rPr>
        <w:t>Employment Law for Paralegals</w:t>
      </w:r>
      <w:r w:rsidRPr="002A3F26">
        <w:rPr>
          <w:b/>
          <w:bCs/>
          <w:i/>
          <w:iCs/>
        </w:rPr>
        <w:t xml:space="preserve"> </w:t>
      </w:r>
      <w:r w:rsidRPr="002A3F26">
        <w:t>(</w:t>
      </w:r>
      <w:r w:rsidRPr="002A3F26">
        <w:t>978-1-77255-418-2</w:t>
      </w:r>
      <w:r w:rsidRPr="002A3F26">
        <w:t>)</w:t>
      </w:r>
    </w:p>
    <w:p w14:paraId="443E1C01" w14:textId="1D0B42AF" w:rsidR="00BC43EF" w:rsidRPr="002A3F26" w:rsidRDefault="00BC43EF" w:rsidP="00DF19AE">
      <w:pPr>
        <w:spacing w:after="0" w:line="240" w:lineRule="auto"/>
        <w:contextualSpacing/>
      </w:pPr>
      <w:r w:rsidRPr="002A3F26">
        <w:t>April 13, 2020</w:t>
      </w:r>
    </w:p>
    <w:p w14:paraId="5330D564" w14:textId="77777777" w:rsidR="00BC43EF" w:rsidRPr="002A3F26" w:rsidRDefault="00BC43EF" w:rsidP="00DF19AE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DF19AE" w:rsidRPr="002A3F26" w14:paraId="1C1F1696" w14:textId="77777777" w:rsidTr="00BC43EF">
        <w:tc>
          <w:tcPr>
            <w:tcW w:w="2263" w:type="dxa"/>
          </w:tcPr>
          <w:p w14:paraId="7B572636" w14:textId="2EF0E66C" w:rsidR="00DF19AE" w:rsidRPr="002A3F26" w:rsidRDefault="00DF19AE" w:rsidP="00DF19AE">
            <w:pPr>
              <w:rPr>
                <w:b/>
                <w:bCs/>
              </w:rPr>
            </w:pPr>
            <w:r w:rsidRPr="002A3F26">
              <w:rPr>
                <w:b/>
                <w:bCs/>
              </w:rPr>
              <w:t>Page</w:t>
            </w:r>
            <w:r w:rsidR="00BC43EF" w:rsidRPr="002A3F26">
              <w:rPr>
                <w:b/>
                <w:bCs/>
              </w:rPr>
              <w:t>/location</w:t>
            </w:r>
          </w:p>
        </w:tc>
        <w:tc>
          <w:tcPr>
            <w:tcW w:w="7087" w:type="dxa"/>
          </w:tcPr>
          <w:p w14:paraId="5961E871" w14:textId="04CB3F1E" w:rsidR="00DF19AE" w:rsidRPr="002A3F26" w:rsidRDefault="00BC43EF" w:rsidP="00DF19AE">
            <w:pPr>
              <w:rPr>
                <w:b/>
                <w:bCs/>
              </w:rPr>
            </w:pPr>
            <w:r w:rsidRPr="002A3F26">
              <w:rPr>
                <w:b/>
                <w:bCs/>
              </w:rPr>
              <w:t>Update</w:t>
            </w:r>
          </w:p>
        </w:tc>
      </w:tr>
      <w:tr w:rsidR="00EB06C4" w:rsidRPr="002A3F26" w14:paraId="0649FBB5" w14:textId="77777777" w:rsidTr="00BC43EF">
        <w:tc>
          <w:tcPr>
            <w:tcW w:w="2263" w:type="dxa"/>
          </w:tcPr>
          <w:p w14:paraId="20FB1FD5" w14:textId="30D9BB4D" w:rsidR="00EB06C4" w:rsidRPr="002A3F26" w:rsidRDefault="00C920DE" w:rsidP="00DF19AE">
            <w:r w:rsidRPr="002A3F26">
              <w:t>34</w:t>
            </w:r>
            <w:r w:rsidR="00BC43EF" w:rsidRPr="002A3F26">
              <w:t>, last para</w:t>
            </w:r>
          </w:p>
        </w:tc>
        <w:tc>
          <w:tcPr>
            <w:tcW w:w="7087" w:type="dxa"/>
          </w:tcPr>
          <w:p w14:paraId="5D00E47A" w14:textId="3E7F6029" w:rsidR="00C920DE" w:rsidRPr="00321F5D" w:rsidRDefault="00C920DE" w:rsidP="00DF19AE">
            <w:r w:rsidRPr="00321F5D">
              <w:t>Bill 47</w:t>
            </w:r>
            <w:r w:rsidR="00BC43EF" w:rsidRPr="00321F5D">
              <w:t xml:space="preserve">, </w:t>
            </w:r>
            <w:r w:rsidR="00BC43EF" w:rsidRPr="00321F5D">
              <w:t xml:space="preserve">the </w:t>
            </w:r>
            <w:r w:rsidR="00BC43EF" w:rsidRPr="00321F5D">
              <w:rPr>
                <w:i/>
                <w:iCs/>
              </w:rPr>
              <w:t>Making Ontario Open for Business Act, 2018</w:t>
            </w:r>
            <w:r w:rsidR="00BC43EF" w:rsidRPr="00321F5D">
              <w:t xml:space="preserve">, </w:t>
            </w:r>
            <w:r w:rsidRPr="00321F5D">
              <w:t>received Royal Assent on November 21, 2018. References to anticipated changes as a result of the passage of Bill 47 have now been enacted.</w:t>
            </w:r>
          </w:p>
        </w:tc>
      </w:tr>
      <w:tr w:rsidR="002C5162" w:rsidRPr="002A3F26" w14:paraId="06160F3A" w14:textId="77777777" w:rsidTr="00BC43EF">
        <w:tc>
          <w:tcPr>
            <w:tcW w:w="2263" w:type="dxa"/>
          </w:tcPr>
          <w:p w14:paraId="1B9B7BDD" w14:textId="20218521" w:rsidR="002C5162" w:rsidRPr="002A3F26" w:rsidRDefault="002C5162" w:rsidP="00DF19AE">
            <w:r w:rsidRPr="002A3F26">
              <w:t>41</w:t>
            </w:r>
            <w:r w:rsidR="00BC43EF" w:rsidRPr="002A3F26">
              <w:t>, u</w:t>
            </w:r>
            <w:r w:rsidR="00BC43EF" w:rsidRPr="002A3F26">
              <w:t>nder “Minimum Employment Standards”</w:t>
            </w:r>
          </w:p>
        </w:tc>
        <w:tc>
          <w:tcPr>
            <w:tcW w:w="7087" w:type="dxa"/>
          </w:tcPr>
          <w:p w14:paraId="36EB9092" w14:textId="2D6C8712" w:rsidR="002C5162" w:rsidRPr="00321F5D" w:rsidRDefault="002C5162" w:rsidP="00DF19AE">
            <w:r w:rsidRPr="00321F5D">
              <w:t xml:space="preserve">Bill 47 received Royal Assent on November 21, 2018. All references </w:t>
            </w:r>
            <w:r w:rsidR="00C74C7D" w:rsidRPr="00321F5D">
              <w:t xml:space="preserve">in Table 2.1 </w:t>
            </w:r>
            <w:r w:rsidRPr="00321F5D">
              <w:t xml:space="preserve">to anticipated changes </w:t>
            </w:r>
            <w:r w:rsidR="00C74C7D" w:rsidRPr="00321F5D">
              <w:t>have now been enacted.</w:t>
            </w:r>
          </w:p>
        </w:tc>
      </w:tr>
      <w:tr w:rsidR="00DF19AE" w:rsidRPr="002A3F26" w14:paraId="519EC06E" w14:textId="77777777" w:rsidTr="00BC43EF">
        <w:tc>
          <w:tcPr>
            <w:tcW w:w="2263" w:type="dxa"/>
          </w:tcPr>
          <w:p w14:paraId="27A17B11" w14:textId="6F6929CB" w:rsidR="00DF19AE" w:rsidRPr="002A3F26" w:rsidRDefault="00DF19AE" w:rsidP="00DF19AE">
            <w:r w:rsidRPr="002A3F26">
              <w:t>72</w:t>
            </w:r>
            <w:r w:rsidR="00680942">
              <w:t>, green box</w:t>
            </w:r>
          </w:p>
        </w:tc>
        <w:tc>
          <w:tcPr>
            <w:tcW w:w="7087" w:type="dxa"/>
          </w:tcPr>
          <w:p w14:paraId="78FB093F" w14:textId="71E2AFBC" w:rsidR="00BC43EF" w:rsidRPr="002A3F26" w:rsidRDefault="00680942" w:rsidP="00BC43EF">
            <w:r>
              <w:t>C</w:t>
            </w:r>
            <w:r w:rsidR="00DF19AE" w:rsidRPr="002A3F26">
              <w:t xml:space="preserve">hange title to “Sample Calculation of </w:t>
            </w:r>
            <w:r w:rsidR="00DF19AE" w:rsidRPr="002A3F26">
              <w:rPr>
                <w:b/>
                <w:bCs/>
              </w:rPr>
              <w:t>Severance</w:t>
            </w:r>
            <w:r w:rsidR="00DF19AE" w:rsidRPr="002A3F26">
              <w:t xml:space="preserve"> Pay”</w:t>
            </w:r>
            <w:r w:rsidR="00BC43EF" w:rsidRPr="002A3F26">
              <w:rPr>
                <w:rStyle w:val="FootnoteReference"/>
                <w:vertAlign w:val="baseline"/>
              </w:rPr>
              <w:footnoteReference w:id="1"/>
            </w:r>
          </w:p>
        </w:tc>
      </w:tr>
      <w:tr w:rsidR="00DF19AE" w:rsidRPr="002A3F26" w14:paraId="20C873C4" w14:textId="77777777" w:rsidTr="00BC43EF">
        <w:tc>
          <w:tcPr>
            <w:tcW w:w="2263" w:type="dxa"/>
          </w:tcPr>
          <w:p w14:paraId="2E1F6C10" w14:textId="0229C58B" w:rsidR="00DF19AE" w:rsidRPr="002A3F26" w:rsidRDefault="00DF19AE" w:rsidP="00DF19AE">
            <w:r w:rsidRPr="002A3F26">
              <w:t>181-182</w:t>
            </w:r>
            <w:r w:rsidR="00BC43EF" w:rsidRPr="002A3F26">
              <w:t>, addition to end of box on page 182</w:t>
            </w:r>
          </w:p>
          <w:p w14:paraId="6B03BE63" w14:textId="56A26F98" w:rsidR="00554221" w:rsidRPr="002A3F26" w:rsidRDefault="00554221" w:rsidP="00DF19AE"/>
        </w:tc>
        <w:tc>
          <w:tcPr>
            <w:tcW w:w="7087" w:type="dxa"/>
          </w:tcPr>
          <w:p w14:paraId="09ABD9A0" w14:textId="11D51CFF" w:rsidR="00DF19AE" w:rsidRPr="00321F5D" w:rsidRDefault="00DF19AE" w:rsidP="00DF19AE">
            <w:r w:rsidRPr="00321F5D">
              <w:t xml:space="preserve">In 2019, the Ontario Court of Appeal overturned this decision concluding that they were not persuaded that the jurisprudence had sufficiently evolved to recognize a tort of harassment </w:t>
            </w:r>
            <w:r w:rsidRPr="00321F5D">
              <w:rPr>
                <w:rFonts w:cstheme="minorHAnsi"/>
              </w:rPr>
              <w:t>(</w:t>
            </w:r>
            <w:r w:rsidRPr="00321F5D">
              <w:rPr>
                <w:rFonts w:cstheme="minorHAnsi"/>
                <w:i/>
                <w:iCs/>
                <w:color w:val="212529"/>
                <w:shd w:val="clear" w:color="auto" w:fill="FFFFFF"/>
              </w:rPr>
              <w:t>Merrifield v Canada (Attorney General)</w:t>
            </w:r>
            <w:r w:rsidRPr="00321F5D">
              <w:rPr>
                <w:rFonts w:cstheme="minorHAnsi"/>
                <w:color w:val="212529"/>
                <w:shd w:val="clear" w:color="auto" w:fill="FFFFFF"/>
              </w:rPr>
              <w:t>, 2019 ONCA 205)</w:t>
            </w:r>
          </w:p>
        </w:tc>
      </w:tr>
      <w:tr w:rsidR="00DF19AE" w:rsidRPr="002A3F26" w14:paraId="6B4A73A2" w14:textId="77777777" w:rsidTr="00BC43EF">
        <w:tc>
          <w:tcPr>
            <w:tcW w:w="2263" w:type="dxa"/>
          </w:tcPr>
          <w:p w14:paraId="79E11B87" w14:textId="56F12D5C" w:rsidR="00DF19AE" w:rsidRPr="002A3F26" w:rsidRDefault="00DF19AE" w:rsidP="00DF19AE">
            <w:r w:rsidRPr="002A3F26">
              <w:t>245</w:t>
            </w:r>
            <w:r w:rsidR="00680942">
              <w:t xml:space="preserve">, </w:t>
            </w:r>
            <w:r w:rsidR="00680942" w:rsidRPr="002A3F26">
              <w:t xml:space="preserve">under heading “Untenable Work Environment,” line </w:t>
            </w:r>
            <w:r w:rsidR="00680942">
              <w:t>8</w:t>
            </w:r>
          </w:p>
        </w:tc>
        <w:tc>
          <w:tcPr>
            <w:tcW w:w="7087" w:type="dxa"/>
          </w:tcPr>
          <w:p w14:paraId="4BEA018E" w14:textId="4710406B" w:rsidR="00DF19AE" w:rsidRPr="002A3F26" w:rsidRDefault="00DF19AE" w:rsidP="00BC43EF">
            <w:r w:rsidRPr="002A3F26">
              <w:t xml:space="preserve">Chapter 10 </w:t>
            </w:r>
            <w:r w:rsidR="00BC43EF" w:rsidRPr="002A3F26">
              <w:t xml:space="preserve">should be </w:t>
            </w:r>
            <w:r w:rsidRPr="002A3F26">
              <w:t xml:space="preserve">Chapter </w:t>
            </w:r>
            <w:r w:rsidRPr="002A3F26">
              <w:rPr>
                <w:b/>
                <w:bCs/>
              </w:rPr>
              <w:t>11</w:t>
            </w:r>
            <w:r w:rsidR="00BC43EF" w:rsidRPr="002A3F26">
              <w:rPr>
                <w:b/>
                <w:bCs/>
              </w:rPr>
              <w:t>*</w:t>
            </w:r>
          </w:p>
        </w:tc>
      </w:tr>
      <w:tr w:rsidR="00C920DE" w:rsidRPr="002A3F26" w14:paraId="5908E590" w14:textId="77777777" w:rsidTr="00BC43EF">
        <w:tc>
          <w:tcPr>
            <w:tcW w:w="2263" w:type="dxa"/>
          </w:tcPr>
          <w:p w14:paraId="50DF2DFC" w14:textId="1D52EE09" w:rsidR="00C920DE" w:rsidRPr="002A3F26" w:rsidRDefault="00C920DE" w:rsidP="00DF19AE">
            <w:r w:rsidRPr="002A3F26">
              <w:t>258</w:t>
            </w:r>
          </w:p>
        </w:tc>
        <w:tc>
          <w:tcPr>
            <w:tcW w:w="7087" w:type="dxa"/>
          </w:tcPr>
          <w:p w14:paraId="1CF408F8" w14:textId="106B054E" w:rsidR="00C920DE" w:rsidRPr="002A3F26" w:rsidRDefault="00AA3AC5" w:rsidP="00DF19AE">
            <w:r w:rsidRPr="002A3F26">
              <w:t xml:space="preserve">FYI box – last sentence “in the 2017 decision of </w:t>
            </w:r>
            <w:r w:rsidRPr="002A3F26">
              <w:rPr>
                <w:i/>
                <w:iCs/>
              </w:rPr>
              <w:t xml:space="preserve">Doyle v </w:t>
            </w:r>
            <w:proofErr w:type="spellStart"/>
            <w:r w:rsidRPr="002A3F26">
              <w:rPr>
                <w:i/>
                <w:iCs/>
              </w:rPr>
              <w:t>Zochem</w:t>
            </w:r>
            <w:proofErr w:type="spellEnd"/>
            <w:r w:rsidRPr="002A3F26">
              <w:rPr>
                <w:i/>
                <w:iCs/>
              </w:rPr>
              <w:t>…</w:t>
            </w:r>
            <w:r w:rsidRPr="002A3F26">
              <w:t xml:space="preserve">” should NOT be in the </w:t>
            </w:r>
            <w:proofErr w:type="gramStart"/>
            <w:r w:rsidRPr="002A3F26">
              <w:t>box.</w:t>
            </w:r>
            <w:r w:rsidR="00BC43EF" w:rsidRPr="002A3F26">
              <w:t>*</w:t>
            </w:r>
            <w:proofErr w:type="gramEnd"/>
          </w:p>
        </w:tc>
      </w:tr>
      <w:tr w:rsidR="00AA3AC5" w:rsidRPr="002A3F26" w14:paraId="09F52E26" w14:textId="77777777" w:rsidTr="00BC43EF">
        <w:tc>
          <w:tcPr>
            <w:tcW w:w="2263" w:type="dxa"/>
          </w:tcPr>
          <w:p w14:paraId="6C53258C" w14:textId="713B9E59" w:rsidR="00554221" w:rsidRPr="002A3F26" w:rsidRDefault="00AA3AC5" w:rsidP="00DF19AE">
            <w:r w:rsidRPr="002A3F26">
              <w:t>269</w:t>
            </w:r>
            <w:r w:rsidR="00BC43EF" w:rsidRPr="002A3F26">
              <w:t xml:space="preserve">, </w:t>
            </w:r>
            <w:r w:rsidR="00321F5D">
              <w:t>u</w:t>
            </w:r>
            <w:r w:rsidR="00BC43EF" w:rsidRPr="002A3F26">
              <w:t>nder “Wrongful Dismissal Proceedings”</w:t>
            </w:r>
          </w:p>
        </w:tc>
        <w:tc>
          <w:tcPr>
            <w:tcW w:w="7087" w:type="dxa"/>
          </w:tcPr>
          <w:p w14:paraId="4CD45CB3" w14:textId="519BF37F" w:rsidR="00AA3AC5" w:rsidRPr="002A3F26" w:rsidRDefault="00BC43EF" w:rsidP="00DF19AE">
            <w:r w:rsidRPr="002A3F26">
              <w:t>On January 1, 2020, the Ontario Small Claims Courts limits increased to $35,000. C</w:t>
            </w:r>
            <w:r w:rsidR="00AA3AC5" w:rsidRPr="002A3F26">
              <w:t xml:space="preserve">hange $25,000 to </w:t>
            </w:r>
            <w:r w:rsidR="00AA3AC5" w:rsidRPr="002A3F26">
              <w:rPr>
                <w:b/>
                <w:bCs/>
              </w:rPr>
              <w:t>$35,000</w:t>
            </w:r>
            <w:r w:rsidR="00AA3AC5" w:rsidRPr="002A3F26">
              <w:t xml:space="preserve"> (referred to twice)</w:t>
            </w:r>
            <w:r w:rsidR="002A3F26" w:rsidRPr="002A3F26">
              <w:t>.</w:t>
            </w:r>
          </w:p>
        </w:tc>
      </w:tr>
      <w:tr w:rsidR="00AA3AC5" w:rsidRPr="002A3F26" w14:paraId="0EDB385E" w14:textId="77777777" w:rsidTr="00BC43EF">
        <w:tc>
          <w:tcPr>
            <w:tcW w:w="2263" w:type="dxa"/>
          </w:tcPr>
          <w:p w14:paraId="6AC562CA" w14:textId="0C9EFBBB" w:rsidR="00AA3AC5" w:rsidRPr="002A3F26" w:rsidRDefault="00AA3AC5" w:rsidP="00DF19AE">
            <w:r w:rsidRPr="002A3F26">
              <w:t>271</w:t>
            </w:r>
            <w:r w:rsidR="00BC43EF" w:rsidRPr="002A3F26">
              <w:t>, last sentence</w:t>
            </w:r>
          </w:p>
        </w:tc>
        <w:tc>
          <w:tcPr>
            <w:tcW w:w="7087" w:type="dxa"/>
          </w:tcPr>
          <w:p w14:paraId="316BC7C2" w14:textId="7BB8F8D7" w:rsidR="00AA3AC5" w:rsidRPr="002A3F26" w:rsidRDefault="00C31CA6" w:rsidP="00C31CA6">
            <w:r w:rsidRPr="002A3F26">
              <w:t xml:space="preserve">Judgments of the Ontario Small Claims Court for claims in excess of </w:t>
            </w:r>
            <w:r w:rsidRPr="00680942">
              <w:rPr>
                <w:b/>
                <w:bCs/>
              </w:rPr>
              <w:t>$</w:t>
            </w:r>
            <w:r w:rsidRPr="002A3F26">
              <w:rPr>
                <w:b/>
                <w:bCs/>
              </w:rPr>
              <w:t>3</w:t>
            </w:r>
            <w:r w:rsidRPr="002A3F26">
              <w:rPr>
                <w:b/>
                <w:bCs/>
              </w:rPr>
              <w:t>,500</w:t>
            </w:r>
            <w:r w:rsidRPr="002A3F26">
              <w:t xml:space="preserve"> may be</w:t>
            </w:r>
            <w:r w:rsidRPr="002A3F26">
              <w:t xml:space="preserve"> </w:t>
            </w:r>
            <w:r w:rsidRPr="002A3F26">
              <w:t>appealed within 30 days to the Divisional Court</w:t>
            </w:r>
            <w:r w:rsidRPr="002A3F26">
              <w:t>. [Changed from $2,500 to $3,500.]</w:t>
            </w:r>
          </w:p>
        </w:tc>
      </w:tr>
      <w:tr w:rsidR="00C74C7D" w:rsidRPr="002A3F26" w14:paraId="74334C15" w14:textId="77777777" w:rsidTr="00BC43EF">
        <w:tc>
          <w:tcPr>
            <w:tcW w:w="2263" w:type="dxa"/>
          </w:tcPr>
          <w:p w14:paraId="1F0D238A" w14:textId="48362798" w:rsidR="002A3F26" w:rsidRPr="002A3F26" w:rsidRDefault="00C74C7D" w:rsidP="002A3F26">
            <w:r w:rsidRPr="002A3F26">
              <w:t>418</w:t>
            </w:r>
            <w:r w:rsidR="002A3F26" w:rsidRPr="002A3F26">
              <w:t>, u</w:t>
            </w:r>
            <w:r w:rsidR="002A3F26" w:rsidRPr="002A3F26">
              <w:t>nder “Offences and Penalties</w:t>
            </w:r>
            <w:r w:rsidR="002A3F26" w:rsidRPr="002A3F26">
              <w:t>,</w:t>
            </w:r>
            <w:r w:rsidR="002A3F26" w:rsidRPr="002A3F26">
              <w:t>” para 2</w:t>
            </w:r>
          </w:p>
          <w:p w14:paraId="4AA6190A" w14:textId="56191F93" w:rsidR="00C74C7D" w:rsidRPr="002A3F26" w:rsidRDefault="00C74C7D" w:rsidP="00DF19AE"/>
        </w:tc>
        <w:tc>
          <w:tcPr>
            <w:tcW w:w="7087" w:type="dxa"/>
          </w:tcPr>
          <w:p w14:paraId="19E641E3" w14:textId="77777777" w:rsidR="00C74C7D" w:rsidRPr="002A3F26" w:rsidRDefault="00C74C7D" w:rsidP="00DF19AE">
            <w:r w:rsidRPr="002A3F26">
              <w:t xml:space="preserve">Change $25,000 to </w:t>
            </w:r>
            <w:r w:rsidRPr="002A3F26">
              <w:rPr>
                <w:b/>
                <w:bCs/>
              </w:rPr>
              <w:t>$100,000</w:t>
            </w:r>
          </w:p>
          <w:p w14:paraId="611B6D0C" w14:textId="3942FE42" w:rsidR="00C74C7D" w:rsidRPr="002A3F26" w:rsidRDefault="00C74C7D" w:rsidP="00DF19AE">
            <w:r w:rsidRPr="002A3F26">
              <w:t xml:space="preserve">Change $500,000 to </w:t>
            </w:r>
            <w:r w:rsidRPr="002A3F26">
              <w:rPr>
                <w:b/>
                <w:bCs/>
              </w:rPr>
              <w:t>$1.5 million</w:t>
            </w:r>
          </w:p>
        </w:tc>
      </w:tr>
      <w:tr w:rsidR="00C74C7D" w14:paraId="1365AC35" w14:textId="77777777" w:rsidTr="00BC43EF">
        <w:tc>
          <w:tcPr>
            <w:tcW w:w="2263" w:type="dxa"/>
          </w:tcPr>
          <w:p w14:paraId="1C8E7E32" w14:textId="39C81B62" w:rsidR="00C74C7D" w:rsidRPr="002A3F26" w:rsidRDefault="00C74C7D" w:rsidP="00DF19AE">
            <w:r w:rsidRPr="002A3F26">
              <w:t>496</w:t>
            </w:r>
            <w:r w:rsidR="002A3F26" w:rsidRPr="002A3F26">
              <w:t>, u</w:t>
            </w:r>
            <w:r w:rsidR="002A3F26" w:rsidRPr="002A3F26">
              <w:t>nder “Enforcement”</w:t>
            </w:r>
          </w:p>
        </w:tc>
        <w:tc>
          <w:tcPr>
            <w:tcW w:w="7087" w:type="dxa"/>
          </w:tcPr>
          <w:p w14:paraId="54778069" w14:textId="58A62640" w:rsidR="00C74C7D" w:rsidRPr="002A3F26" w:rsidRDefault="00C74C7D" w:rsidP="00DF19AE">
            <w:r w:rsidRPr="002A3F26">
              <w:t>Change $5,000 (in par</w:t>
            </w:r>
            <w:r w:rsidR="002A3F26" w:rsidRPr="002A3F26">
              <w:t>a</w:t>
            </w:r>
            <w:r w:rsidRPr="002A3F26">
              <w:t xml:space="preserve"> (a)) to </w:t>
            </w:r>
            <w:r w:rsidRPr="002A3F26">
              <w:rPr>
                <w:b/>
                <w:bCs/>
              </w:rPr>
              <w:t>$2,000</w:t>
            </w:r>
          </w:p>
          <w:p w14:paraId="74C40685" w14:textId="79165CFB" w:rsidR="00C74C7D" w:rsidRPr="002A3F26" w:rsidRDefault="00C74C7D" w:rsidP="00DF19AE">
            <w:r w:rsidRPr="002A3F26">
              <w:t>Change $100,000 (in par</w:t>
            </w:r>
            <w:r w:rsidR="002A3F26" w:rsidRPr="002A3F26">
              <w:t>a</w:t>
            </w:r>
            <w:r w:rsidRPr="002A3F26">
              <w:t xml:space="preserve"> (b)) to </w:t>
            </w:r>
            <w:r w:rsidRPr="002A3F26">
              <w:rPr>
                <w:b/>
                <w:bCs/>
              </w:rPr>
              <w:t>$25,000</w:t>
            </w:r>
          </w:p>
          <w:p w14:paraId="37214A54" w14:textId="77777777" w:rsidR="00C74C7D" w:rsidRPr="002A3F26" w:rsidRDefault="00C74C7D" w:rsidP="00DF19AE"/>
          <w:p w14:paraId="218C0342" w14:textId="4CCF75E3" w:rsidR="00C74C7D" w:rsidRPr="00C74C7D" w:rsidRDefault="002A3F26" w:rsidP="00DF19AE">
            <w:r w:rsidRPr="002A3F26">
              <w:t>The decreased amounts are a result of the enactment of Bill 47—i.e., this sentence is true</w:t>
            </w:r>
            <w:r w:rsidR="00C74C7D" w:rsidRPr="002A3F26">
              <w:t>: “Bill 47 will return the fines to $2,000 (for an individual) and $25,000 (for a corporation, trade union, etc.).”</w:t>
            </w:r>
            <w:r w:rsidR="00C74C7D">
              <w:t xml:space="preserve"> </w:t>
            </w:r>
          </w:p>
        </w:tc>
      </w:tr>
    </w:tbl>
    <w:p w14:paraId="0F3450AF" w14:textId="65CDF382" w:rsidR="00DF19AE" w:rsidRDefault="00DF19AE" w:rsidP="00DF19AE">
      <w:pPr>
        <w:spacing w:after="0" w:line="240" w:lineRule="auto"/>
      </w:pPr>
    </w:p>
    <w:sectPr w:rsidR="00DF19AE">
      <w:footnotePr>
        <w:numFmt w:val="chicago"/>
      </w:foot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0A28" w14:textId="77777777" w:rsidR="00232C6C" w:rsidRDefault="00232C6C" w:rsidP="00BC43EF">
      <w:pPr>
        <w:spacing w:after="0" w:line="240" w:lineRule="auto"/>
      </w:pPr>
      <w:r>
        <w:separator/>
      </w:r>
    </w:p>
  </w:endnote>
  <w:endnote w:type="continuationSeparator" w:id="0">
    <w:p w14:paraId="2CDE04F8" w14:textId="77777777" w:rsidR="00232C6C" w:rsidRDefault="00232C6C" w:rsidP="00BC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B83A" w14:textId="77777777" w:rsidR="00232C6C" w:rsidRDefault="00232C6C" w:rsidP="00BC43EF">
      <w:pPr>
        <w:spacing w:after="0" w:line="240" w:lineRule="auto"/>
      </w:pPr>
      <w:r>
        <w:separator/>
      </w:r>
    </w:p>
  </w:footnote>
  <w:footnote w:type="continuationSeparator" w:id="0">
    <w:p w14:paraId="75D6E9A9" w14:textId="77777777" w:rsidR="00232C6C" w:rsidRDefault="00232C6C" w:rsidP="00BC43EF">
      <w:pPr>
        <w:spacing w:after="0" w:line="240" w:lineRule="auto"/>
      </w:pPr>
      <w:r>
        <w:continuationSeparator/>
      </w:r>
    </w:p>
  </w:footnote>
  <w:footnote w:id="1">
    <w:p w14:paraId="20364ECA" w14:textId="1F514FE2" w:rsidR="00BC43EF" w:rsidRPr="00BC43EF" w:rsidRDefault="00BC43EF">
      <w:pPr>
        <w:pStyle w:val="FootnoteText"/>
      </w:pPr>
      <w:r w:rsidRPr="00BC43EF">
        <w:rPr>
          <w:rStyle w:val="FootnoteReference"/>
          <w:vertAlign w:val="baseline"/>
        </w:rPr>
        <w:footnoteRef/>
      </w:r>
      <w:r w:rsidRPr="00BC43EF">
        <w:t xml:space="preserve"> </w:t>
      </w:r>
      <w:r>
        <w:t>Starred changes were made to copies printed on later print runs of the book, so some texts will have these corrections made.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D1BA3"/>
    <w:multiLevelType w:val="hybridMultilevel"/>
    <w:tmpl w:val="F006A4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AE"/>
    <w:rsid w:val="00232C6C"/>
    <w:rsid w:val="002A3F26"/>
    <w:rsid w:val="002C5162"/>
    <w:rsid w:val="00321F5D"/>
    <w:rsid w:val="00477A1D"/>
    <w:rsid w:val="005155CB"/>
    <w:rsid w:val="00554221"/>
    <w:rsid w:val="00635D8A"/>
    <w:rsid w:val="0066431B"/>
    <w:rsid w:val="00680942"/>
    <w:rsid w:val="00871CE4"/>
    <w:rsid w:val="00A152DE"/>
    <w:rsid w:val="00AA3AC5"/>
    <w:rsid w:val="00BC43EF"/>
    <w:rsid w:val="00C31CA6"/>
    <w:rsid w:val="00C74C7D"/>
    <w:rsid w:val="00C920DE"/>
    <w:rsid w:val="00DF19AE"/>
    <w:rsid w:val="00EB06C4"/>
    <w:rsid w:val="00F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3DF1"/>
  <w15:chartTrackingRefBased/>
  <w15:docId w15:val="{82D56274-A0EA-4349-979B-F83D7B9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AE"/>
    <w:pPr>
      <w:ind w:left="720"/>
      <w:contextualSpacing/>
    </w:pPr>
  </w:style>
  <w:style w:type="table" w:styleId="TableGrid">
    <w:name w:val="Table Grid"/>
    <w:basedOn w:val="TableNormal"/>
    <w:uiPriority w:val="39"/>
    <w:rsid w:val="00DF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43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3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43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4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FDFF5-253A-4834-BD31-FECF0150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 Romano</dc:creator>
  <cp:keywords/>
  <dc:description/>
  <cp:lastModifiedBy>Laura Bast</cp:lastModifiedBy>
  <cp:revision>7</cp:revision>
  <dcterms:created xsi:type="dcterms:W3CDTF">2020-04-14T15:47:00Z</dcterms:created>
  <dcterms:modified xsi:type="dcterms:W3CDTF">2020-04-17T13:58:00Z</dcterms:modified>
</cp:coreProperties>
</file>