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3163" w14:textId="0D23AC9B" w:rsidR="00A13B5F" w:rsidRDefault="00A13B5F" w:rsidP="00A13B5F">
      <w:pPr>
        <w:tabs>
          <w:tab w:val="num" w:pos="720"/>
        </w:tabs>
        <w:ind w:left="720" w:hanging="360"/>
        <w:rPr>
          <w:b/>
          <w:bCs/>
        </w:rPr>
      </w:pPr>
      <w:r w:rsidRPr="00A13B5F">
        <w:rPr>
          <w:b/>
          <w:bCs/>
        </w:rPr>
        <w:t xml:space="preserve">AN UPDATE – STANDARD OF REVIEW </w:t>
      </w:r>
    </w:p>
    <w:p w14:paraId="2CA17360" w14:textId="58F9E9E6" w:rsidR="00AB69CD" w:rsidRPr="00AB69CD" w:rsidRDefault="00AB69CD" w:rsidP="00AB69CD">
      <w:pPr>
        <w:tabs>
          <w:tab w:val="num" w:pos="720"/>
        </w:tabs>
        <w:ind w:left="357"/>
        <w:rPr>
          <w:i/>
          <w:iCs/>
        </w:rPr>
      </w:pPr>
      <w:r w:rsidRPr="00AB69CD">
        <w:rPr>
          <w:i/>
          <w:iCs/>
        </w:rPr>
        <w:t>To accompany Ch 15 of Administrative Law: Principles and Advocacy, 4th edition, ISBN 9781772555028</w:t>
      </w:r>
    </w:p>
    <w:p w14:paraId="0B1A39AD" w14:textId="47720613" w:rsidR="00B95A7B" w:rsidRDefault="00B95A7B" w:rsidP="00A13B5F">
      <w:pPr>
        <w:tabs>
          <w:tab w:val="num" w:pos="720"/>
        </w:tabs>
        <w:ind w:left="720" w:hanging="360"/>
        <w:rPr>
          <w:b/>
          <w:bCs/>
        </w:rPr>
      </w:pPr>
      <w:r>
        <w:rPr>
          <w:b/>
          <w:bCs/>
        </w:rPr>
        <w:t>August 4, 2021</w:t>
      </w:r>
    </w:p>
    <w:p w14:paraId="16F44CCA" w14:textId="35329AB4" w:rsidR="00ED5C31" w:rsidRPr="00ED5C31" w:rsidRDefault="00ED5C31" w:rsidP="00ED5C31"/>
    <w:p w14:paraId="3FF5CC4B" w14:textId="0DE7DD9F" w:rsidR="00ED5C31" w:rsidRDefault="00ED5C31" w:rsidP="00ED5C31">
      <w:pPr>
        <w:numPr>
          <w:ilvl w:val="0"/>
          <w:numId w:val="15"/>
        </w:numPr>
      </w:pPr>
      <w:r w:rsidRPr="00ED5C31">
        <w:t>O</w:t>
      </w:r>
      <w:r w:rsidR="00CC492C">
        <w:t>n</w:t>
      </w:r>
      <w:r w:rsidRPr="00ED5C31">
        <w:t xml:space="preserve"> </w:t>
      </w:r>
      <w:r w:rsidR="00EC78A2">
        <w:t xml:space="preserve">December </w:t>
      </w:r>
      <w:r w:rsidR="00035797">
        <w:t>19</w:t>
      </w:r>
      <w:r w:rsidR="009A3191">
        <w:t xml:space="preserve">, </w:t>
      </w:r>
      <w:r w:rsidR="00EC78A2">
        <w:t>2019</w:t>
      </w:r>
      <w:r w:rsidRPr="00ED5C31">
        <w:t xml:space="preserve">, the Supreme Court of Canada (SCC) </w:t>
      </w:r>
      <w:r w:rsidR="00CC492C">
        <w:t xml:space="preserve">in </w:t>
      </w:r>
      <w:r w:rsidR="00CC492C" w:rsidRPr="00CC492C">
        <w:rPr>
          <w:i/>
          <w:iCs/>
        </w:rPr>
        <w:t>Vavilov</w:t>
      </w:r>
      <w:r w:rsidR="00035797" w:rsidRPr="00862EE9">
        <w:rPr>
          <w:rStyle w:val="FootnoteReference"/>
        </w:rPr>
        <w:footnoteReference w:id="1"/>
      </w:r>
      <w:r w:rsidR="00CC492C">
        <w:t xml:space="preserve"> established a new </w:t>
      </w:r>
      <w:r>
        <w:t xml:space="preserve">standard of review </w:t>
      </w:r>
      <w:r w:rsidRPr="00ED5C31">
        <w:t>framework</w:t>
      </w:r>
      <w:r>
        <w:t>.</w:t>
      </w:r>
    </w:p>
    <w:p w14:paraId="0F172B70" w14:textId="24C1EC91" w:rsidR="00EC78A2" w:rsidRDefault="00CC492C" w:rsidP="00545EB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</w:pPr>
      <w:r>
        <w:t xml:space="preserve">This change came just over 10 years after the release of </w:t>
      </w:r>
      <w:r w:rsidRPr="00EC78A2">
        <w:rPr>
          <w:i/>
          <w:iCs/>
        </w:rPr>
        <w:t>Dunsmuir</w:t>
      </w:r>
      <w:r>
        <w:t>.</w:t>
      </w:r>
      <w:r w:rsidR="00B95A7B">
        <w:t xml:space="preserve"> </w:t>
      </w:r>
      <w:r>
        <w:t xml:space="preserve">Recall that in </w:t>
      </w:r>
      <w:r w:rsidRPr="00EC78A2">
        <w:rPr>
          <w:i/>
          <w:iCs/>
        </w:rPr>
        <w:t>Dunsmuir</w:t>
      </w:r>
      <w:r>
        <w:t xml:space="preserve"> the SCC provided </w:t>
      </w:r>
      <w:r w:rsidR="00EC78A2">
        <w:t xml:space="preserve">much needed </w:t>
      </w:r>
      <w:r>
        <w:t xml:space="preserve">clarity to </w:t>
      </w:r>
      <w:r w:rsidRPr="00CC492C">
        <w:t>the approach to judicial reviews of administrative decisions</w:t>
      </w:r>
      <w:r w:rsidR="00EC78A2">
        <w:t xml:space="preserve"> and the court established </w:t>
      </w:r>
      <w:r w:rsidRPr="00CC492C">
        <w:t>two standards of review: reasonableness and</w:t>
      </w:r>
      <w:r w:rsidR="00EC78A2">
        <w:t xml:space="preserve"> </w:t>
      </w:r>
      <w:r w:rsidRPr="00CC492C">
        <w:t>correctness.</w:t>
      </w:r>
      <w:r w:rsidR="00B95A7B">
        <w:t xml:space="preserve"> </w:t>
      </w:r>
      <w:r w:rsidR="00EC78A2">
        <w:t>I</w:t>
      </w:r>
      <w:r w:rsidR="00035797">
        <w:t>n</w:t>
      </w:r>
      <w:r w:rsidR="00EC78A2">
        <w:t xml:space="preserve"> the years that followed</w:t>
      </w:r>
      <w:r w:rsidR="00710D94">
        <w:t>,</w:t>
      </w:r>
      <w:r w:rsidR="00035797">
        <w:t xml:space="preserve"> however</w:t>
      </w:r>
      <w:r w:rsidR="00EC78A2">
        <w:t xml:space="preserve">, there has been a lack of clarity at times around applying the standard. </w:t>
      </w:r>
    </w:p>
    <w:p w14:paraId="6100CAD2" w14:textId="77777777" w:rsidR="00EC78A2" w:rsidRDefault="00EC78A2" w:rsidP="00EC78A2">
      <w:pPr>
        <w:pStyle w:val="ListParagraph"/>
        <w:autoSpaceDE w:val="0"/>
        <w:autoSpaceDN w:val="0"/>
        <w:adjustRightInd w:val="0"/>
        <w:spacing w:after="0" w:line="240" w:lineRule="auto"/>
      </w:pPr>
    </w:p>
    <w:p w14:paraId="631B4E66" w14:textId="67F91B89" w:rsidR="00ED5C31" w:rsidRDefault="00EC78A2" w:rsidP="00ED5C31">
      <w:pPr>
        <w:numPr>
          <w:ilvl w:val="0"/>
          <w:numId w:val="15"/>
        </w:numPr>
      </w:pPr>
      <w:r>
        <w:t>I</w:t>
      </w:r>
      <w:r w:rsidR="00CC492C">
        <w:t xml:space="preserve">n </w:t>
      </w:r>
      <w:r w:rsidR="00CC492C" w:rsidRPr="00035797">
        <w:rPr>
          <w:i/>
          <w:iCs/>
        </w:rPr>
        <w:t>Vavilov</w:t>
      </w:r>
      <w:r w:rsidR="00035797">
        <w:t>, t</w:t>
      </w:r>
      <w:r w:rsidR="00ED5C31" w:rsidRPr="00ED5C31">
        <w:t xml:space="preserve">he SCC found that courts should presumptively review administrative decisions on a deferential standard </w:t>
      </w:r>
      <w:r w:rsidR="00ED5C31">
        <w:t>and set out some exceptions.</w:t>
      </w:r>
      <w:r w:rsidR="00B95A7B">
        <w:t xml:space="preserve"> </w:t>
      </w:r>
      <w:r w:rsidR="00ED5C31">
        <w:t>The SCC also provided guidance on how to apply a reasonableness standard.</w:t>
      </w:r>
      <w:r w:rsidR="00B95A7B">
        <w:t xml:space="preserve"> </w:t>
      </w:r>
    </w:p>
    <w:p w14:paraId="7165C381" w14:textId="299B948B" w:rsidR="00ED5C31" w:rsidRPr="00ED5C31" w:rsidRDefault="00ED5C31" w:rsidP="00ED5C31">
      <w:pPr>
        <w:tabs>
          <w:tab w:val="num" w:pos="720"/>
        </w:tabs>
        <w:ind w:left="720" w:hanging="360"/>
      </w:pPr>
    </w:p>
    <w:p w14:paraId="24101847" w14:textId="36C648C3" w:rsidR="00A13B5F" w:rsidRPr="00A13B5F" w:rsidRDefault="00A13B5F" w:rsidP="00A13B5F">
      <w:pPr>
        <w:tabs>
          <w:tab w:val="num" w:pos="720"/>
        </w:tabs>
        <w:ind w:left="720" w:hanging="360"/>
      </w:pPr>
      <w:r w:rsidRPr="00A13B5F">
        <w:rPr>
          <w:b/>
          <w:bCs/>
          <w:i/>
          <w:iCs/>
        </w:rPr>
        <w:t>Dunsmuir</w:t>
      </w:r>
      <w:r w:rsidRPr="00710D94">
        <w:rPr>
          <w:b/>
          <w:bCs/>
        </w:rPr>
        <w:t>’s</w:t>
      </w:r>
      <w:r w:rsidRPr="00A13B5F">
        <w:rPr>
          <w:b/>
          <w:bCs/>
        </w:rPr>
        <w:t xml:space="preserve"> Methodology</w:t>
      </w:r>
    </w:p>
    <w:p w14:paraId="79CC9D54" w14:textId="2870C8AD" w:rsidR="00A13B5F" w:rsidRDefault="00A13B5F" w:rsidP="00A13B5F">
      <w:pPr>
        <w:numPr>
          <w:ilvl w:val="0"/>
          <w:numId w:val="15"/>
        </w:numPr>
      </w:pPr>
      <w:r>
        <w:t xml:space="preserve">The first step for the </w:t>
      </w:r>
      <w:r w:rsidRPr="00A13B5F">
        <w:t xml:space="preserve">reviewing court </w:t>
      </w:r>
      <w:r>
        <w:t xml:space="preserve">was to determine </w:t>
      </w:r>
      <w:r w:rsidRPr="00A13B5F">
        <w:t xml:space="preserve">if </w:t>
      </w:r>
      <w:r>
        <w:t xml:space="preserve">there were </w:t>
      </w:r>
      <w:r w:rsidRPr="00A13B5F">
        <w:t xml:space="preserve">any </w:t>
      </w:r>
      <w:r w:rsidRPr="00A13B5F">
        <w:rPr>
          <w:b/>
          <w:bCs/>
        </w:rPr>
        <w:t xml:space="preserve">past cases </w:t>
      </w:r>
      <w:r>
        <w:t xml:space="preserve">that had </w:t>
      </w:r>
      <w:r w:rsidRPr="00A13B5F">
        <w:t>already decided the standard of review to be applied</w:t>
      </w:r>
      <w:r>
        <w:t>.</w:t>
      </w:r>
    </w:p>
    <w:p w14:paraId="7A7E6029" w14:textId="305DF536" w:rsidR="00A13B5F" w:rsidRDefault="00A13B5F" w:rsidP="00A13B5F">
      <w:pPr>
        <w:numPr>
          <w:ilvl w:val="0"/>
          <w:numId w:val="15"/>
        </w:numPr>
      </w:pPr>
      <w:r w:rsidRPr="00A13B5F">
        <w:t xml:space="preserve">If the case </w:t>
      </w:r>
      <w:r>
        <w:t xml:space="preserve">being reviewed did </w:t>
      </w:r>
      <w:r w:rsidRPr="00A13B5F">
        <w:t>not fit into one of the</w:t>
      </w:r>
      <w:r>
        <w:t xml:space="preserve"> previous </w:t>
      </w:r>
      <w:r w:rsidRPr="00A13B5F">
        <w:t xml:space="preserve">precedential categories, </w:t>
      </w:r>
      <w:r>
        <w:t xml:space="preserve">then the </w:t>
      </w:r>
      <w:r w:rsidRPr="00A13B5F">
        <w:t>reviewing court move</w:t>
      </w:r>
      <w:r>
        <w:t>d</w:t>
      </w:r>
      <w:r w:rsidRPr="00A13B5F">
        <w:t xml:space="preserve"> to a more in-depth analysis: </w:t>
      </w:r>
      <w:r w:rsidRPr="00A13B5F">
        <w:rPr>
          <w:b/>
          <w:bCs/>
        </w:rPr>
        <w:t>the standard of review analysis</w:t>
      </w:r>
      <w:r>
        <w:rPr>
          <w:b/>
          <w:bCs/>
        </w:rPr>
        <w:t>.</w:t>
      </w:r>
      <w:r w:rsidRPr="00A13B5F">
        <w:rPr>
          <w:b/>
          <w:bCs/>
        </w:rPr>
        <w:t xml:space="preserve"> </w:t>
      </w:r>
      <w:r w:rsidRPr="00710D94">
        <w:t>This was</w:t>
      </w:r>
      <w:r>
        <w:rPr>
          <w:b/>
          <w:bCs/>
        </w:rPr>
        <w:t xml:space="preserve"> </w:t>
      </w:r>
      <w:r w:rsidRPr="00A13B5F">
        <w:t>previously called “the pragmatic and functional analysis</w:t>
      </w:r>
      <w:r w:rsidR="00710D94">
        <w:t>.</w:t>
      </w:r>
      <w:r w:rsidRPr="00A13B5F">
        <w:t>”</w:t>
      </w:r>
    </w:p>
    <w:p w14:paraId="05BF45C2" w14:textId="53D96334" w:rsidR="00A13B5F" w:rsidRPr="00A13B5F" w:rsidRDefault="00A13B5F" w:rsidP="00A13B5F">
      <w:pPr>
        <w:numPr>
          <w:ilvl w:val="0"/>
          <w:numId w:val="15"/>
        </w:numPr>
      </w:pPr>
      <w:r>
        <w:t xml:space="preserve">The </w:t>
      </w:r>
      <w:r w:rsidRPr="00710D94">
        <w:rPr>
          <w:i/>
          <w:iCs/>
        </w:rPr>
        <w:t>Dunsmuir</w:t>
      </w:r>
      <w:r>
        <w:t xml:space="preserve"> methodology involved weighing </w:t>
      </w:r>
      <w:r w:rsidRPr="00A13B5F">
        <w:t xml:space="preserve">four </w:t>
      </w:r>
      <w:r>
        <w:t>f</w:t>
      </w:r>
      <w:r w:rsidRPr="00A13B5F">
        <w:t>actors:</w:t>
      </w:r>
    </w:p>
    <w:p w14:paraId="15E3CC77" w14:textId="77777777" w:rsidR="00A13B5F" w:rsidRPr="00A13B5F" w:rsidRDefault="00A13B5F" w:rsidP="00710D94">
      <w:pPr>
        <w:numPr>
          <w:ilvl w:val="2"/>
          <w:numId w:val="17"/>
        </w:numPr>
      </w:pPr>
      <w:r w:rsidRPr="00A13B5F">
        <w:t xml:space="preserve">the presence or absence of a privative </w:t>
      </w:r>
      <w:proofErr w:type="gramStart"/>
      <w:r w:rsidRPr="00A13B5F">
        <w:t>clause;</w:t>
      </w:r>
      <w:proofErr w:type="gramEnd"/>
      <w:r w:rsidRPr="00A13B5F">
        <w:t xml:space="preserve"> </w:t>
      </w:r>
    </w:p>
    <w:p w14:paraId="5F27B26B" w14:textId="77777777" w:rsidR="00A13B5F" w:rsidRPr="00A13B5F" w:rsidRDefault="00A13B5F" w:rsidP="00710D94">
      <w:pPr>
        <w:numPr>
          <w:ilvl w:val="2"/>
          <w:numId w:val="17"/>
        </w:numPr>
      </w:pPr>
      <w:r w:rsidRPr="00A13B5F">
        <w:t xml:space="preserve">the purpose of the tribunal as determined by interpretation of enabling </w:t>
      </w:r>
      <w:proofErr w:type="gramStart"/>
      <w:r w:rsidRPr="00A13B5F">
        <w:t>legislation;</w:t>
      </w:r>
      <w:proofErr w:type="gramEnd"/>
    </w:p>
    <w:p w14:paraId="10F48DC3" w14:textId="77777777" w:rsidR="00A13B5F" w:rsidRPr="00A13B5F" w:rsidRDefault="00A13B5F" w:rsidP="00710D94">
      <w:pPr>
        <w:numPr>
          <w:ilvl w:val="2"/>
          <w:numId w:val="17"/>
        </w:numPr>
      </w:pPr>
      <w:r w:rsidRPr="00A13B5F">
        <w:t xml:space="preserve">the nature of the questions at issue (fact, law, and mixed fact and law); and </w:t>
      </w:r>
    </w:p>
    <w:p w14:paraId="10EF31FB" w14:textId="77777777" w:rsidR="00A13B5F" w:rsidRPr="00A13B5F" w:rsidRDefault="00A13B5F" w:rsidP="00710D94">
      <w:pPr>
        <w:numPr>
          <w:ilvl w:val="2"/>
          <w:numId w:val="17"/>
        </w:numPr>
      </w:pPr>
      <w:r w:rsidRPr="00A13B5F">
        <w:t xml:space="preserve">the expertise of the tribunal. </w:t>
      </w:r>
    </w:p>
    <w:p w14:paraId="7B60A6C8" w14:textId="77777777" w:rsidR="00A13B5F" w:rsidRDefault="00A13B5F" w:rsidP="000D6BC9">
      <w:pPr>
        <w:ind w:left="720"/>
      </w:pPr>
    </w:p>
    <w:p w14:paraId="09C659D5" w14:textId="63295AF7" w:rsidR="00A13B5F" w:rsidRPr="00A13B5F" w:rsidRDefault="00A13B5F" w:rsidP="00A13B5F">
      <w:pPr>
        <w:numPr>
          <w:ilvl w:val="0"/>
          <w:numId w:val="11"/>
        </w:numPr>
      </w:pPr>
      <w:r w:rsidRPr="00A13B5F">
        <w:t xml:space="preserve">In </w:t>
      </w:r>
      <w:r w:rsidRPr="00A13B5F">
        <w:rPr>
          <w:i/>
          <w:iCs/>
        </w:rPr>
        <w:t>Dunsmuir</w:t>
      </w:r>
      <w:r w:rsidRPr="00A13B5F">
        <w:t xml:space="preserve"> and subsequent cases</w:t>
      </w:r>
      <w:r w:rsidR="00A03E97">
        <w:t xml:space="preserve"> before </w:t>
      </w:r>
      <w:r w:rsidR="00A03E97" w:rsidRPr="00A03E97">
        <w:rPr>
          <w:i/>
          <w:iCs/>
        </w:rPr>
        <w:t>Vavilov</w:t>
      </w:r>
      <w:r w:rsidRPr="00A13B5F">
        <w:t xml:space="preserve">, </w:t>
      </w:r>
      <w:r w:rsidRPr="00A13B5F">
        <w:rPr>
          <w:b/>
          <w:bCs/>
        </w:rPr>
        <w:t>reasonableness</w:t>
      </w:r>
      <w:r w:rsidRPr="00A13B5F">
        <w:t xml:space="preserve"> </w:t>
      </w:r>
      <w:r w:rsidR="00A03E97">
        <w:t xml:space="preserve">was </w:t>
      </w:r>
      <w:r w:rsidRPr="00A13B5F">
        <w:t xml:space="preserve">the presumptive standard in administrative law when: </w:t>
      </w:r>
    </w:p>
    <w:p w14:paraId="1970F581" w14:textId="77777777" w:rsidR="00A13B5F" w:rsidRPr="00A13B5F" w:rsidRDefault="00A13B5F" w:rsidP="00A13B5F">
      <w:pPr>
        <w:numPr>
          <w:ilvl w:val="1"/>
          <w:numId w:val="11"/>
        </w:numPr>
      </w:pPr>
      <w:r w:rsidRPr="00A13B5F">
        <w:t xml:space="preserve">a specialized or expert </w:t>
      </w:r>
      <w:proofErr w:type="gramStart"/>
      <w:r w:rsidRPr="00A13B5F">
        <w:t>tribunal;</w:t>
      </w:r>
      <w:proofErr w:type="gramEnd"/>
      <w:r w:rsidRPr="00A13B5F">
        <w:t xml:space="preserve"> </w:t>
      </w:r>
    </w:p>
    <w:p w14:paraId="1D872763" w14:textId="77777777" w:rsidR="00A13B5F" w:rsidRPr="00A13B5F" w:rsidRDefault="00A13B5F" w:rsidP="00A13B5F">
      <w:pPr>
        <w:numPr>
          <w:ilvl w:val="1"/>
          <w:numId w:val="11"/>
        </w:numPr>
      </w:pPr>
      <w:r w:rsidRPr="00A13B5F">
        <w:t xml:space="preserve">interpreting its enabling or home </w:t>
      </w:r>
      <w:proofErr w:type="gramStart"/>
      <w:r w:rsidRPr="00A13B5F">
        <w:t>statute;</w:t>
      </w:r>
      <w:proofErr w:type="gramEnd"/>
      <w:r w:rsidRPr="00A13B5F">
        <w:t xml:space="preserve"> </w:t>
      </w:r>
    </w:p>
    <w:p w14:paraId="64FECC6A" w14:textId="77777777" w:rsidR="00A13B5F" w:rsidRPr="00A13B5F" w:rsidRDefault="00A13B5F" w:rsidP="00A13B5F">
      <w:pPr>
        <w:numPr>
          <w:ilvl w:val="1"/>
          <w:numId w:val="11"/>
        </w:numPr>
      </w:pPr>
      <w:r w:rsidRPr="00A13B5F">
        <w:t xml:space="preserve">on a question of fact or mixed fact and </w:t>
      </w:r>
      <w:proofErr w:type="gramStart"/>
      <w:r w:rsidRPr="00A13B5F">
        <w:t>law;</w:t>
      </w:r>
      <w:proofErr w:type="gramEnd"/>
      <w:r w:rsidRPr="00A13B5F">
        <w:t xml:space="preserve"> </w:t>
      </w:r>
    </w:p>
    <w:p w14:paraId="1DF4FB57" w14:textId="77777777" w:rsidR="00A13B5F" w:rsidRPr="00A13B5F" w:rsidRDefault="00A13B5F" w:rsidP="00A13B5F">
      <w:pPr>
        <w:numPr>
          <w:ilvl w:val="1"/>
          <w:numId w:val="11"/>
        </w:numPr>
      </w:pPr>
      <w:r w:rsidRPr="00A13B5F">
        <w:t xml:space="preserve">or exercising broad statutory </w:t>
      </w:r>
      <w:proofErr w:type="gramStart"/>
      <w:r w:rsidRPr="00A13B5F">
        <w:t>discretion;</w:t>
      </w:r>
      <w:proofErr w:type="gramEnd"/>
      <w:r w:rsidRPr="00A13B5F">
        <w:t xml:space="preserve"> </w:t>
      </w:r>
    </w:p>
    <w:p w14:paraId="5A5B039B" w14:textId="77777777" w:rsidR="00A13B5F" w:rsidRPr="00A13B5F" w:rsidRDefault="00A13B5F" w:rsidP="00A13B5F">
      <w:pPr>
        <w:numPr>
          <w:ilvl w:val="1"/>
          <w:numId w:val="11"/>
        </w:numPr>
      </w:pPr>
      <w:r w:rsidRPr="00A13B5F">
        <w:t xml:space="preserve">correctly applies all legal principles or </w:t>
      </w:r>
      <w:proofErr w:type="gramStart"/>
      <w:r w:rsidRPr="00A13B5F">
        <w:t>tests;</w:t>
      </w:r>
      <w:proofErr w:type="gramEnd"/>
      <w:r w:rsidRPr="00A13B5F">
        <w:t xml:space="preserve"> </w:t>
      </w:r>
    </w:p>
    <w:p w14:paraId="70A64AB1" w14:textId="77777777" w:rsidR="00A13B5F" w:rsidRPr="00A13B5F" w:rsidRDefault="00A13B5F" w:rsidP="00A13B5F">
      <w:pPr>
        <w:numPr>
          <w:ilvl w:val="1"/>
          <w:numId w:val="11"/>
        </w:numPr>
      </w:pPr>
      <w:r w:rsidRPr="00A13B5F">
        <w:t xml:space="preserve">to construct an interpretation of its statutory powers that falls within range of possible acceptable </w:t>
      </w:r>
      <w:proofErr w:type="gramStart"/>
      <w:r w:rsidRPr="00A13B5F">
        <w:t>interpretations;</w:t>
      </w:r>
      <w:proofErr w:type="gramEnd"/>
    </w:p>
    <w:p w14:paraId="368C4C08" w14:textId="77777777" w:rsidR="00A13B5F" w:rsidRPr="00A13B5F" w:rsidRDefault="00A13B5F" w:rsidP="00A13B5F">
      <w:pPr>
        <w:numPr>
          <w:ilvl w:val="1"/>
          <w:numId w:val="11"/>
        </w:numPr>
      </w:pPr>
      <w:r w:rsidRPr="00A13B5F">
        <w:t>resulting in a decision that demonstrates justification, transparency, and intelligibility; and</w:t>
      </w:r>
    </w:p>
    <w:p w14:paraId="3F4D9FC1" w14:textId="77777777" w:rsidR="00A13B5F" w:rsidRPr="00A13B5F" w:rsidRDefault="00A13B5F" w:rsidP="00A13B5F">
      <w:pPr>
        <w:numPr>
          <w:ilvl w:val="1"/>
          <w:numId w:val="11"/>
        </w:numPr>
      </w:pPr>
      <w:r w:rsidRPr="00A13B5F">
        <w:t xml:space="preserve">produces a reasonable outcome that is defensible in respect of the facts and law. </w:t>
      </w:r>
    </w:p>
    <w:p w14:paraId="0E81A935" w14:textId="77777777" w:rsidR="00A13B5F" w:rsidRDefault="00A13B5F" w:rsidP="00A13B5F"/>
    <w:p w14:paraId="02E11AA8" w14:textId="77777777" w:rsidR="00A03E97" w:rsidRPr="00A03E97" w:rsidRDefault="00A03E97" w:rsidP="00CD7638">
      <w:r w:rsidRPr="00A03E97">
        <w:t xml:space="preserve">A standard of correctness was adopted in the following cases: </w:t>
      </w:r>
    </w:p>
    <w:p w14:paraId="2CA207BE" w14:textId="7F2D83E6" w:rsidR="00CD7638" w:rsidRPr="00CD7638" w:rsidRDefault="00CD7638" w:rsidP="00CD7638">
      <w:pPr>
        <w:numPr>
          <w:ilvl w:val="1"/>
          <w:numId w:val="13"/>
        </w:numPr>
      </w:pPr>
      <w:r w:rsidRPr="00CD7638">
        <w:t>where the question of law is “a question of central importance to the legal system as a whole and outside the adjudicator’s specialized area of expertise</w:t>
      </w:r>
      <w:r w:rsidR="00710D94">
        <w:t>,</w:t>
      </w:r>
      <w:r w:rsidRPr="00CD7638">
        <w:t>”</w:t>
      </w:r>
    </w:p>
    <w:p w14:paraId="5F0FC463" w14:textId="77777777" w:rsidR="00CD7638" w:rsidRPr="00CD7638" w:rsidRDefault="00CD7638" w:rsidP="00CD7638">
      <w:pPr>
        <w:numPr>
          <w:ilvl w:val="1"/>
          <w:numId w:val="13"/>
        </w:numPr>
      </w:pPr>
      <w:r w:rsidRPr="00CD7638">
        <w:t xml:space="preserve">in constitutional questions, </w:t>
      </w:r>
    </w:p>
    <w:p w14:paraId="7AEDE4ED" w14:textId="77777777" w:rsidR="00CD7638" w:rsidRPr="00CD7638" w:rsidRDefault="00CD7638" w:rsidP="00CD7638">
      <w:pPr>
        <w:numPr>
          <w:ilvl w:val="1"/>
          <w:numId w:val="13"/>
        </w:numPr>
      </w:pPr>
      <w:r w:rsidRPr="00CD7638">
        <w:t xml:space="preserve">in “true” questions of jurisdiction: “where the tribunal must explicitly determine whether its statutory grant of power gives it the authority to decide a particular matter,” and </w:t>
      </w:r>
    </w:p>
    <w:p w14:paraId="13744592" w14:textId="458865E5" w:rsidR="00CD7638" w:rsidRDefault="00CD7638" w:rsidP="00CD7638">
      <w:pPr>
        <w:numPr>
          <w:ilvl w:val="1"/>
          <w:numId w:val="13"/>
        </w:numPr>
      </w:pPr>
      <w:r w:rsidRPr="00CD7638">
        <w:t>in questions regarding the jurisdictional lines between two or more competing specialized tribunals.</w:t>
      </w:r>
    </w:p>
    <w:p w14:paraId="371360E8" w14:textId="77777777" w:rsidR="00AB69CD" w:rsidRDefault="00AB69CD" w:rsidP="00A17860">
      <w:pPr>
        <w:rPr>
          <w:b/>
          <w:bCs/>
          <w:i/>
          <w:iCs/>
          <w:lang w:val="en-US"/>
        </w:rPr>
      </w:pPr>
    </w:p>
    <w:p w14:paraId="5A1170C0" w14:textId="068F0083" w:rsidR="00CD7638" w:rsidRPr="00037A81" w:rsidRDefault="00037A81" w:rsidP="00AB69CD">
      <w:pPr>
        <w:keepNext/>
        <w:rPr>
          <w:b/>
          <w:bCs/>
          <w:i/>
          <w:iCs/>
          <w:lang w:val="en-US"/>
        </w:rPr>
      </w:pPr>
      <w:r w:rsidRPr="00037A81">
        <w:rPr>
          <w:b/>
          <w:bCs/>
          <w:i/>
          <w:iCs/>
          <w:lang w:val="en-US"/>
        </w:rPr>
        <w:t>Vavilov</w:t>
      </w:r>
      <w:r w:rsidRPr="00037A81">
        <w:rPr>
          <w:b/>
          <w:bCs/>
          <w:lang w:val="en-US"/>
        </w:rPr>
        <w:t xml:space="preserve"> Framework</w:t>
      </w:r>
      <w:r w:rsidR="00FA1C34">
        <w:rPr>
          <w:b/>
          <w:bCs/>
          <w:lang w:val="en-US"/>
        </w:rPr>
        <w:t>:</w:t>
      </w:r>
      <w:r w:rsidR="00A17860" w:rsidRPr="00FA1C34">
        <w:rPr>
          <w:b/>
          <w:bCs/>
          <w:lang w:val="en-US"/>
        </w:rPr>
        <w:t xml:space="preserve"> </w:t>
      </w:r>
      <w:r w:rsidRPr="00FA1C34">
        <w:rPr>
          <w:b/>
          <w:bCs/>
          <w:lang w:val="en-US"/>
        </w:rPr>
        <w:t>Reasonableness or Correctness</w:t>
      </w:r>
      <w:r w:rsidRPr="00037A81">
        <w:rPr>
          <w:b/>
          <w:bCs/>
          <w:i/>
          <w:iCs/>
          <w:lang w:val="en-US"/>
        </w:rPr>
        <w:t xml:space="preserve">? </w:t>
      </w:r>
    </w:p>
    <w:p w14:paraId="365D6841" w14:textId="77777777" w:rsidR="00FC4D51" w:rsidRDefault="00CD7638" w:rsidP="00FE7EAF">
      <w:pPr>
        <w:pStyle w:val="mainparagraph1"/>
        <w:rPr>
          <w:rFonts w:ascii="Arial" w:hAnsi="Arial" w:cs="Arial"/>
          <w:color w:val="000000" w:themeColor="text1"/>
        </w:rPr>
      </w:pPr>
      <w:r w:rsidRPr="00CB2D56">
        <w:rPr>
          <w:rFonts w:ascii="Arial" w:hAnsi="Arial" w:cs="Arial"/>
          <w:color w:val="000000" w:themeColor="text1"/>
          <w:lang w:val="en"/>
        </w:rPr>
        <w:t xml:space="preserve">Under the </w:t>
      </w:r>
      <w:r w:rsidRPr="00CB2D56">
        <w:rPr>
          <w:rFonts w:ascii="Arial" w:hAnsi="Arial" w:cs="Arial"/>
          <w:i/>
          <w:color w:val="000000" w:themeColor="text1"/>
          <w:lang w:val="en"/>
        </w:rPr>
        <w:t>Vavilov</w:t>
      </w:r>
      <w:r w:rsidRPr="00CB2D56">
        <w:rPr>
          <w:rFonts w:ascii="Arial" w:hAnsi="Arial" w:cs="Arial"/>
          <w:color w:val="000000" w:themeColor="text1"/>
          <w:lang w:val="en"/>
        </w:rPr>
        <w:t xml:space="preserve"> framework, the default is </w:t>
      </w:r>
      <w:r w:rsidR="00037A81">
        <w:rPr>
          <w:rFonts w:ascii="Arial" w:hAnsi="Arial" w:cs="Arial"/>
          <w:color w:val="000000" w:themeColor="text1"/>
          <w:lang w:val="en"/>
        </w:rPr>
        <w:t xml:space="preserve">a </w:t>
      </w:r>
      <w:r w:rsidR="00FE7EAF">
        <w:rPr>
          <w:rFonts w:ascii="Arial" w:hAnsi="Arial" w:cs="Arial"/>
          <w:color w:val="000000" w:themeColor="text1"/>
          <w:lang w:val="en"/>
        </w:rPr>
        <w:t xml:space="preserve">presumption of </w:t>
      </w:r>
      <w:r w:rsidRPr="00CB2D56">
        <w:rPr>
          <w:rFonts w:ascii="Arial" w:hAnsi="Arial" w:cs="Arial"/>
          <w:color w:val="000000" w:themeColor="text1"/>
          <w:lang w:val="en"/>
        </w:rPr>
        <w:t>reasonableness review.</w:t>
      </w:r>
      <w:r>
        <w:rPr>
          <w:rFonts w:ascii="Arial" w:hAnsi="Arial" w:cs="Arial"/>
          <w:color w:val="000000" w:themeColor="text1"/>
          <w:lang w:val="en"/>
        </w:rPr>
        <w:t xml:space="preserve"> </w:t>
      </w:r>
      <w:r w:rsidR="00FE7EAF">
        <w:rPr>
          <w:rFonts w:ascii="Arial" w:hAnsi="Arial" w:cs="Arial"/>
          <w:color w:val="000000" w:themeColor="text1"/>
          <w:lang w:val="en"/>
        </w:rPr>
        <w:t xml:space="preserve">This presumption is based on the idea that the </w:t>
      </w:r>
      <w:r w:rsidR="00FE7EAF" w:rsidRPr="00FE7EAF">
        <w:rPr>
          <w:rFonts w:ascii="Arial" w:hAnsi="Arial" w:cs="Arial"/>
          <w:color w:val="000000" w:themeColor="text1"/>
        </w:rPr>
        <w:t>legislature intended the standard of review to be reasonableness</w:t>
      </w:r>
      <w:r w:rsidR="00FC4D51">
        <w:rPr>
          <w:rFonts w:ascii="Arial" w:hAnsi="Arial" w:cs="Arial"/>
          <w:color w:val="000000" w:themeColor="text1"/>
        </w:rPr>
        <w:t xml:space="preserve"> and a respect for the </w:t>
      </w:r>
      <w:r w:rsidR="00FE7EAF" w:rsidRPr="00FE7EAF">
        <w:rPr>
          <w:rFonts w:ascii="Arial" w:hAnsi="Arial" w:cs="Arial"/>
          <w:color w:val="000000" w:themeColor="text1"/>
        </w:rPr>
        <w:t>legislature’s institutional design choice</w:t>
      </w:r>
      <w:r w:rsidR="00FC4D51">
        <w:rPr>
          <w:rFonts w:ascii="Arial" w:hAnsi="Arial" w:cs="Arial"/>
          <w:color w:val="000000" w:themeColor="text1"/>
        </w:rPr>
        <w:t>.</w:t>
      </w:r>
    </w:p>
    <w:p w14:paraId="4A4CBF62" w14:textId="503C7AC8" w:rsidR="00FE7EAF" w:rsidRDefault="00FC4D51" w:rsidP="00FC4D51">
      <w:pPr>
        <w:pStyle w:val="mainparagraph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There are </w:t>
      </w:r>
      <w:r w:rsidR="00FE7EAF" w:rsidRPr="00FE7EAF">
        <w:rPr>
          <w:rFonts w:ascii="Arial" w:hAnsi="Arial" w:cs="Arial"/>
          <w:color w:val="000000" w:themeColor="text1"/>
        </w:rPr>
        <w:t>exceptions.</w:t>
      </w:r>
    </w:p>
    <w:p w14:paraId="416170E2" w14:textId="3C6B72D5" w:rsidR="00CD7638" w:rsidRPr="00E93566" w:rsidRDefault="00A17860" w:rsidP="00CD7638">
      <w:pPr>
        <w:pStyle w:val="mainparagraph1"/>
        <w:numPr>
          <w:ilvl w:val="0"/>
          <w:numId w:val="4"/>
        </w:numPr>
        <w:jc w:val="left"/>
        <w:rPr>
          <w:rFonts w:ascii="Arial" w:hAnsi="Arial" w:cs="Arial"/>
          <w:b/>
          <w:color w:val="000000"/>
          <w:lang w:val="en"/>
        </w:rPr>
      </w:pPr>
      <w:r w:rsidRPr="00A17860">
        <w:rPr>
          <w:rFonts w:ascii="Arial" w:hAnsi="Arial" w:cs="Arial"/>
          <w:b/>
          <w:bCs/>
          <w:color w:val="000000"/>
          <w:lang w:val="en"/>
        </w:rPr>
        <w:t>Specified standard of review</w:t>
      </w:r>
      <w:r>
        <w:rPr>
          <w:rFonts w:ascii="Arial" w:hAnsi="Arial" w:cs="Arial"/>
          <w:color w:val="000000"/>
          <w:lang w:val="en"/>
        </w:rPr>
        <w:t xml:space="preserve"> and the </w:t>
      </w:r>
      <w:r w:rsidR="00CD7638">
        <w:rPr>
          <w:rFonts w:ascii="Arial" w:hAnsi="Arial" w:cs="Arial"/>
          <w:color w:val="000000"/>
          <w:lang w:val="en"/>
        </w:rPr>
        <w:t>legislature has specifically indicated another standard, in which that specified standard will apply</w:t>
      </w:r>
      <w:r w:rsidR="00FC4D51">
        <w:rPr>
          <w:rFonts w:ascii="Arial" w:hAnsi="Arial" w:cs="Arial"/>
          <w:color w:val="000000"/>
          <w:lang w:val="en"/>
        </w:rPr>
        <w:t>.</w:t>
      </w:r>
    </w:p>
    <w:p w14:paraId="52347534" w14:textId="1C1B57BE" w:rsidR="00CD7638" w:rsidRPr="00CB2D56" w:rsidRDefault="00FC4D51" w:rsidP="00CD7638">
      <w:pPr>
        <w:pStyle w:val="mainparagraph1"/>
        <w:numPr>
          <w:ilvl w:val="0"/>
          <w:numId w:val="4"/>
        </w:numPr>
        <w:jc w:val="left"/>
        <w:rPr>
          <w:rFonts w:ascii="Arial" w:hAnsi="Arial" w:cs="Arial"/>
          <w:b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 xml:space="preserve">Where there is a </w:t>
      </w:r>
      <w:r w:rsidRPr="00A17860">
        <w:rPr>
          <w:rFonts w:ascii="Arial" w:hAnsi="Arial" w:cs="Arial"/>
          <w:b/>
          <w:bCs/>
          <w:color w:val="000000"/>
          <w:lang w:val="en"/>
        </w:rPr>
        <w:t>statutory appeal</w:t>
      </w:r>
      <w:r>
        <w:rPr>
          <w:rFonts w:ascii="Arial" w:hAnsi="Arial" w:cs="Arial"/>
          <w:color w:val="000000"/>
          <w:lang w:val="en"/>
        </w:rPr>
        <w:t xml:space="preserve"> as the mechanism for review.</w:t>
      </w:r>
      <w:r w:rsidR="00B95A7B">
        <w:rPr>
          <w:rFonts w:ascii="Arial" w:hAnsi="Arial" w:cs="Arial"/>
          <w:color w:val="000000"/>
          <w:lang w:val="en"/>
        </w:rPr>
        <w:t xml:space="preserve"> </w:t>
      </w:r>
      <w:r>
        <w:rPr>
          <w:rFonts w:ascii="Arial" w:hAnsi="Arial" w:cs="Arial"/>
          <w:color w:val="000000"/>
          <w:lang w:val="en"/>
        </w:rPr>
        <w:t xml:space="preserve">In this case, </w:t>
      </w:r>
      <w:r w:rsidR="00CD7638">
        <w:rPr>
          <w:rFonts w:ascii="Arial" w:hAnsi="Arial" w:cs="Arial"/>
          <w:color w:val="000000"/>
          <w:lang w:val="en"/>
        </w:rPr>
        <w:t>appellate standards of review apply; or</w:t>
      </w:r>
    </w:p>
    <w:p w14:paraId="41812355" w14:textId="4057BF46" w:rsidR="00CD7638" w:rsidRPr="00CB2D56" w:rsidRDefault="00CD7638" w:rsidP="00CD7638">
      <w:pPr>
        <w:pStyle w:val="mainparagraph1"/>
        <w:numPr>
          <w:ilvl w:val="1"/>
          <w:numId w:val="4"/>
        </w:numPr>
        <w:jc w:val="left"/>
        <w:rPr>
          <w:rFonts w:ascii="Arial" w:hAnsi="Arial" w:cs="Arial"/>
          <w:b/>
          <w:color w:val="000000"/>
          <w:lang w:val="en"/>
        </w:rPr>
      </w:pPr>
      <w:r>
        <w:rPr>
          <w:rFonts w:ascii="Arial" w:hAnsi="Arial" w:cs="Arial"/>
          <w:i/>
          <w:color w:val="000000"/>
          <w:lang w:val="en"/>
        </w:rPr>
        <w:t>Questions of law.</w:t>
      </w:r>
      <w:r w:rsidR="00B95A7B">
        <w:rPr>
          <w:rFonts w:ascii="Arial" w:hAnsi="Arial" w:cs="Arial"/>
          <w:i/>
          <w:color w:val="000000"/>
          <w:lang w:val="en"/>
        </w:rPr>
        <w:t xml:space="preserve"> </w:t>
      </w:r>
      <w:r>
        <w:rPr>
          <w:rFonts w:ascii="Arial" w:hAnsi="Arial" w:cs="Arial"/>
          <w:color w:val="000000"/>
          <w:lang w:val="en"/>
        </w:rPr>
        <w:t xml:space="preserve">Review for correctness. </w:t>
      </w:r>
    </w:p>
    <w:p w14:paraId="12354CBF" w14:textId="37FEF3C1" w:rsidR="00CD7638" w:rsidRPr="00CB2D56" w:rsidRDefault="00CD7638" w:rsidP="00CD7638">
      <w:pPr>
        <w:pStyle w:val="mainparagraph1"/>
        <w:numPr>
          <w:ilvl w:val="1"/>
          <w:numId w:val="4"/>
        </w:numPr>
        <w:jc w:val="left"/>
        <w:rPr>
          <w:rFonts w:ascii="Arial" w:hAnsi="Arial" w:cs="Arial"/>
          <w:b/>
          <w:color w:val="000000"/>
          <w:lang w:val="en"/>
        </w:rPr>
      </w:pPr>
      <w:r>
        <w:rPr>
          <w:rFonts w:ascii="Arial" w:hAnsi="Arial" w:cs="Arial"/>
          <w:i/>
          <w:color w:val="000000"/>
          <w:lang w:val="en"/>
        </w:rPr>
        <w:t>Questions of fact.</w:t>
      </w:r>
      <w:r w:rsidR="00B95A7B">
        <w:rPr>
          <w:rFonts w:ascii="Arial" w:hAnsi="Arial" w:cs="Arial"/>
          <w:i/>
          <w:color w:val="000000"/>
          <w:lang w:val="en"/>
        </w:rPr>
        <w:t xml:space="preserve"> </w:t>
      </w:r>
      <w:r>
        <w:rPr>
          <w:rFonts w:ascii="Arial" w:hAnsi="Arial" w:cs="Arial"/>
          <w:color w:val="000000"/>
          <w:lang w:val="en"/>
        </w:rPr>
        <w:t>Review for palpable and overriding error.</w:t>
      </w:r>
    </w:p>
    <w:p w14:paraId="21CDFF33" w14:textId="685D791A" w:rsidR="00CD7638" w:rsidRPr="00CB2D56" w:rsidRDefault="00CD7638" w:rsidP="00CD7638">
      <w:pPr>
        <w:pStyle w:val="mainparagraph1"/>
        <w:numPr>
          <w:ilvl w:val="1"/>
          <w:numId w:val="4"/>
        </w:numPr>
        <w:jc w:val="left"/>
        <w:rPr>
          <w:rFonts w:ascii="Arial" w:hAnsi="Arial" w:cs="Arial"/>
          <w:b/>
          <w:color w:val="000000"/>
          <w:lang w:val="en"/>
        </w:rPr>
      </w:pPr>
      <w:r>
        <w:rPr>
          <w:rFonts w:ascii="Arial" w:hAnsi="Arial" w:cs="Arial"/>
          <w:i/>
          <w:color w:val="000000"/>
          <w:lang w:val="en"/>
        </w:rPr>
        <w:t>Questions of mixed fact and law.</w:t>
      </w:r>
      <w:r w:rsidR="00B95A7B">
        <w:rPr>
          <w:rFonts w:ascii="Arial" w:hAnsi="Arial" w:cs="Arial"/>
          <w:i/>
          <w:color w:val="000000"/>
          <w:lang w:val="en"/>
        </w:rPr>
        <w:t xml:space="preserve"> </w:t>
      </w:r>
      <w:r>
        <w:rPr>
          <w:rFonts w:ascii="Arial" w:hAnsi="Arial" w:cs="Arial"/>
          <w:color w:val="000000"/>
          <w:lang w:val="en"/>
        </w:rPr>
        <w:t>Review for palpable and overriding error, unless the question law can be isolated, in which case the question should be reviewed for correctness.</w:t>
      </w:r>
      <w:r w:rsidR="00B95A7B">
        <w:rPr>
          <w:rFonts w:ascii="Arial" w:hAnsi="Arial" w:cs="Arial"/>
          <w:color w:val="000000"/>
          <w:lang w:val="en"/>
        </w:rPr>
        <w:t xml:space="preserve"> </w:t>
      </w:r>
    </w:p>
    <w:p w14:paraId="76C409C3" w14:textId="239E3E12" w:rsidR="00CD7638" w:rsidRPr="00AB69CD" w:rsidRDefault="00CD7638" w:rsidP="00CD7638">
      <w:pPr>
        <w:pStyle w:val="mainparagraph1"/>
        <w:numPr>
          <w:ilvl w:val="0"/>
          <w:numId w:val="4"/>
        </w:numPr>
        <w:jc w:val="left"/>
        <w:rPr>
          <w:rFonts w:ascii="Arial" w:hAnsi="Arial" w:cs="Arial"/>
          <w:b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 xml:space="preserve">Where the </w:t>
      </w:r>
      <w:r w:rsidRPr="00A17860">
        <w:rPr>
          <w:rFonts w:ascii="Arial" w:hAnsi="Arial" w:cs="Arial"/>
          <w:b/>
          <w:bCs/>
          <w:color w:val="000000"/>
          <w:lang w:val="en"/>
        </w:rPr>
        <w:t>rule of law demands correctness</w:t>
      </w:r>
      <w:r>
        <w:rPr>
          <w:rFonts w:ascii="Arial" w:hAnsi="Arial" w:cs="Arial"/>
          <w:color w:val="000000"/>
          <w:lang w:val="en"/>
        </w:rPr>
        <w:t xml:space="preserve"> review, such when dealing with constitutional questions</w:t>
      </w:r>
      <w:r w:rsidR="00AB69CD">
        <w:rPr>
          <w:rFonts w:ascii="Arial" w:hAnsi="Arial" w:cs="Arial"/>
          <w:color w:val="000000"/>
          <w:lang w:val="en"/>
        </w:rPr>
        <w:t>;</w:t>
      </w:r>
      <w:r>
        <w:rPr>
          <w:rFonts w:ascii="Arial" w:hAnsi="Arial" w:cs="Arial"/>
          <w:color w:val="000000"/>
          <w:lang w:val="en"/>
        </w:rPr>
        <w:t xml:space="preserve"> general questions of law of central importance to the legal system as a whole</w:t>
      </w:r>
      <w:r w:rsidR="00AB69CD">
        <w:rPr>
          <w:rFonts w:ascii="Arial" w:hAnsi="Arial" w:cs="Arial"/>
          <w:color w:val="000000"/>
          <w:lang w:val="en"/>
        </w:rPr>
        <w:t>;</w:t>
      </w:r>
      <w:r>
        <w:rPr>
          <w:rFonts w:ascii="Arial" w:hAnsi="Arial" w:cs="Arial"/>
          <w:color w:val="000000"/>
          <w:lang w:val="en"/>
        </w:rPr>
        <w:t xml:space="preserve"> and questions related to the boundaries between two or more administrative bodies.</w:t>
      </w:r>
      <w:r w:rsidR="00B95A7B">
        <w:rPr>
          <w:rFonts w:ascii="Arial" w:hAnsi="Arial" w:cs="Arial"/>
          <w:color w:val="000000"/>
          <w:lang w:val="en"/>
        </w:rPr>
        <w:t xml:space="preserve"> </w:t>
      </w:r>
    </w:p>
    <w:p w14:paraId="08C009EA" w14:textId="4A491386" w:rsidR="00AB69CD" w:rsidRDefault="00AB69CD" w:rsidP="00AB69CD">
      <w:pPr>
        <w:rPr>
          <w:rFonts w:ascii="Arial" w:eastAsia="Times New Roman" w:hAnsi="Arial" w:cs="Arial"/>
          <w:color w:val="000000"/>
          <w:szCs w:val="24"/>
          <w:lang w:val="en"/>
        </w:rPr>
      </w:pPr>
    </w:p>
    <w:p w14:paraId="707EDA63" w14:textId="38DB434A" w:rsidR="00AB69CD" w:rsidRDefault="00AB69CD" w:rsidP="00AB69CD">
      <w:pPr>
        <w:rPr>
          <w:b/>
          <w:bCs/>
          <w:lang w:val="en"/>
        </w:rPr>
      </w:pPr>
      <w:r w:rsidRPr="00AB69CD">
        <w:rPr>
          <w:b/>
          <w:bCs/>
          <w:lang w:val="en"/>
        </w:rPr>
        <w:t>Chapter 15 Review Questions</w:t>
      </w:r>
    </w:p>
    <w:p w14:paraId="4EB132D1" w14:textId="4DE392BF" w:rsidR="00AB69CD" w:rsidRDefault="00AB69CD" w:rsidP="00AB69CD">
      <w:pPr>
        <w:rPr>
          <w:lang w:val="en"/>
        </w:rPr>
      </w:pPr>
      <w:r w:rsidRPr="00AB69CD">
        <w:rPr>
          <w:lang w:val="en"/>
        </w:rPr>
        <w:t>p. 347</w:t>
      </w:r>
      <w:r>
        <w:rPr>
          <w:lang w:val="en"/>
        </w:rPr>
        <w:t>, Question 7 should</w:t>
      </w:r>
      <w:r w:rsidR="009D0F25">
        <w:rPr>
          <w:lang w:val="en"/>
        </w:rPr>
        <w:t xml:space="preserve"> now</w:t>
      </w:r>
      <w:r>
        <w:rPr>
          <w:lang w:val="en"/>
        </w:rPr>
        <w:t xml:space="preserve"> read: </w:t>
      </w:r>
    </w:p>
    <w:p w14:paraId="78A95C99" w14:textId="13CA03F9" w:rsidR="00AB69CD" w:rsidRPr="0023610D" w:rsidRDefault="009D0F25" w:rsidP="0023610D">
      <w:pPr>
        <w:pStyle w:val="ListParagraph"/>
        <w:numPr>
          <w:ilvl w:val="0"/>
          <w:numId w:val="19"/>
        </w:numPr>
        <w:rPr>
          <w:lang w:val="en"/>
        </w:rPr>
      </w:pPr>
      <w:r w:rsidRPr="0023610D">
        <w:rPr>
          <w:rFonts w:eastAsia="Times New Roman"/>
          <w:color w:val="000000"/>
          <w:szCs w:val="24"/>
        </w:rPr>
        <w:t xml:space="preserve">Since </w:t>
      </w:r>
      <w:r w:rsidRPr="0023610D">
        <w:rPr>
          <w:rFonts w:eastAsia="Times New Roman"/>
          <w:i/>
          <w:iCs/>
          <w:color w:val="000000"/>
          <w:szCs w:val="24"/>
        </w:rPr>
        <w:t>Vavilov</w:t>
      </w:r>
      <w:r w:rsidRPr="0023610D">
        <w:rPr>
          <w:rFonts w:eastAsia="Times New Roman"/>
          <w:color w:val="000000"/>
          <w:szCs w:val="24"/>
        </w:rPr>
        <w:t>, in what circumstances will the court apply a reasonableness and correctness standard?</w:t>
      </w:r>
    </w:p>
    <w:sectPr w:rsidR="00AB69CD" w:rsidRPr="0023610D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E78FD" w14:textId="77777777" w:rsidR="00252F45" w:rsidRDefault="00252F45" w:rsidP="00F72078">
      <w:pPr>
        <w:spacing w:after="0" w:line="240" w:lineRule="auto"/>
      </w:pPr>
      <w:r>
        <w:separator/>
      </w:r>
    </w:p>
  </w:endnote>
  <w:endnote w:type="continuationSeparator" w:id="0">
    <w:p w14:paraId="5C68BF40" w14:textId="77777777" w:rsidR="00252F45" w:rsidRDefault="00252F45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2D00" w14:textId="19112B7C" w:rsidR="00F72078" w:rsidRPr="0076414E" w:rsidRDefault="0076414E" w:rsidP="0076414E">
    <w:pPr>
      <w:pStyle w:val="Footer"/>
      <w:jc w:val="right"/>
      <w:rPr>
        <w:noProof/>
        <w:sz w:val="20"/>
        <w:szCs w:val="20"/>
      </w:rPr>
    </w:pPr>
    <w:r w:rsidRPr="0076414E">
      <w:rPr>
        <w:sz w:val="20"/>
        <w:szCs w:val="20"/>
        <w:lang w:val="en-US"/>
      </w:rPr>
      <w:t>© 2021 Emond Montgomery Publications.</w:t>
    </w:r>
    <w:r w:rsidRPr="0076414E">
      <w:rPr>
        <w:sz w:val="20"/>
        <w:szCs w:val="20"/>
        <w:lang w:val="en-US"/>
      </w:rPr>
      <w:tab/>
    </w:r>
    <w:r w:rsidRPr="0076414E">
      <w:rPr>
        <w:sz w:val="20"/>
        <w:szCs w:val="20"/>
        <w:lang w:val="en-US"/>
      </w:rPr>
      <w:tab/>
    </w:r>
    <w:sdt>
      <w:sdtPr>
        <w:rPr>
          <w:sz w:val="20"/>
          <w:szCs w:val="20"/>
        </w:rPr>
        <w:id w:val="-210167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6414E">
          <w:rPr>
            <w:sz w:val="20"/>
            <w:szCs w:val="20"/>
          </w:rPr>
          <w:fldChar w:fldCharType="begin"/>
        </w:r>
        <w:r w:rsidRPr="0076414E">
          <w:rPr>
            <w:sz w:val="20"/>
            <w:szCs w:val="20"/>
          </w:rPr>
          <w:instrText xml:space="preserve"> PAGE   \* MERGEFORMAT </w:instrText>
        </w:r>
        <w:r w:rsidRPr="0076414E">
          <w:rPr>
            <w:sz w:val="20"/>
            <w:szCs w:val="20"/>
          </w:rPr>
          <w:fldChar w:fldCharType="separate"/>
        </w:r>
        <w:r w:rsidRPr="0076414E">
          <w:rPr>
            <w:sz w:val="20"/>
            <w:szCs w:val="20"/>
          </w:rPr>
          <w:t>1</w:t>
        </w:r>
        <w:r w:rsidRPr="0076414E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3321" w14:textId="77777777" w:rsidR="00252F45" w:rsidRDefault="00252F45" w:rsidP="00F72078">
      <w:pPr>
        <w:spacing w:after="0" w:line="240" w:lineRule="auto"/>
      </w:pPr>
      <w:r>
        <w:separator/>
      </w:r>
    </w:p>
  </w:footnote>
  <w:footnote w:type="continuationSeparator" w:id="0">
    <w:p w14:paraId="75F27449" w14:textId="77777777" w:rsidR="00252F45" w:rsidRDefault="00252F45" w:rsidP="00F72078">
      <w:pPr>
        <w:spacing w:after="0" w:line="240" w:lineRule="auto"/>
      </w:pPr>
      <w:r>
        <w:continuationSeparator/>
      </w:r>
    </w:p>
  </w:footnote>
  <w:footnote w:id="1">
    <w:p w14:paraId="132DC946" w14:textId="54FC6015" w:rsidR="00035797" w:rsidRPr="00035797" w:rsidRDefault="0003579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6414E">
        <w:rPr>
          <w:i/>
          <w:iCs/>
          <w:sz w:val="16"/>
          <w:szCs w:val="16"/>
        </w:rPr>
        <w:t>Canada (Minister of Citizenship and Immigration) v Vavilov</w:t>
      </w:r>
      <w:r w:rsidRPr="00035797">
        <w:rPr>
          <w:sz w:val="16"/>
          <w:szCs w:val="16"/>
        </w:rPr>
        <w:t>, 2019 SCC 65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5E9"/>
    <w:multiLevelType w:val="hybridMultilevel"/>
    <w:tmpl w:val="067633C0"/>
    <w:lvl w:ilvl="0" w:tplc="DF02E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C50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03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F8B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1ED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21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CA2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4A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05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5E6966"/>
    <w:multiLevelType w:val="hybridMultilevel"/>
    <w:tmpl w:val="91B2D6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53C"/>
    <w:multiLevelType w:val="hybridMultilevel"/>
    <w:tmpl w:val="2C2ACEF8"/>
    <w:lvl w:ilvl="0" w:tplc="7FD0C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4E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104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CA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367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2CD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6F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946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942B7D"/>
    <w:multiLevelType w:val="hybridMultilevel"/>
    <w:tmpl w:val="05D89672"/>
    <w:lvl w:ilvl="0" w:tplc="730E3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E9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41DE2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ED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E4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76A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A7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C6E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A8201A"/>
    <w:multiLevelType w:val="hybridMultilevel"/>
    <w:tmpl w:val="6672B4C4"/>
    <w:lvl w:ilvl="0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B774AE"/>
    <w:multiLevelType w:val="hybridMultilevel"/>
    <w:tmpl w:val="24A419B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F896407"/>
    <w:multiLevelType w:val="hybridMultilevel"/>
    <w:tmpl w:val="C5A268CE"/>
    <w:lvl w:ilvl="0" w:tplc="5EB25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BC3C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2DBCC">
      <w:start w:val="100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038A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49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89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E3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0A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6B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3B158E5"/>
    <w:multiLevelType w:val="hybridMultilevel"/>
    <w:tmpl w:val="35349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71BBE"/>
    <w:multiLevelType w:val="hybridMultilevel"/>
    <w:tmpl w:val="E3442CE6"/>
    <w:lvl w:ilvl="0" w:tplc="CA2EE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546C0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8D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1E7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68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EC8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7C6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A9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8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7731E0A"/>
    <w:multiLevelType w:val="hybridMultilevel"/>
    <w:tmpl w:val="690A41A8"/>
    <w:lvl w:ilvl="0" w:tplc="35B4CB64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96418"/>
    <w:multiLevelType w:val="hybridMultilevel"/>
    <w:tmpl w:val="A44EF510"/>
    <w:lvl w:ilvl="0" w:tplc="730E3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E9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CF01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E2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ED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E4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76A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A7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C6E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EC1575E"/>
    <w:multiLevelType w:val="hybridMultilevel"/>
    <w:tmpl w:val="DA847AA0"/>
    <w:lvl w:ilvl="0" w:tplc="ACDE51A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-360" w:hanging="360"/>
      </w:pPr>
    </w:lvl>
    <w:lvl w:ilvl="2" w:tplc="1009001B" w:tentative="1">
      <w:start w:val="1"/>
      <w:numFmt w:val="lowerRoman"/>
      <w:lvlText w:val="%3."/>
      <w:lvlJc w:val="right"/>
      <w:pPr>
        <w:ind w:left="360" w:hanging="180"/>
      </w:pPr>
    </w:lvl>
    <w:lvl w:ilvl="3" w:tplc="1009000F" w:tentative="1">
      <w:start w:val="1"/>
      <w:numFmt w:val="decimal"/>
      <w:lvlText w:val="%4."/>
      <w:lvlJc w:val="left"/>
      <w:pPr>
        <w:ind w:left="1080" w:hanging="360"/>
      </w:pPr>
    </w:lvl>
    <w:lvl w:ilvl="4" w:tplc="10090019" w:tentative="1">
      <w:start w:val="1"/>
      <w:numFmt w:val="lowerLetter"/>
      <w:lvlText w:val="%5."/>
      <w:lvlJc w:val="left"/>
      <w:pPr>
        <w:ind w:left="1800" w:hanging="360"/>
      </w:pPr>
    </w:lvl>
    <w:lvl w:ilvl="5" w:tplc="1009001B" w:tentative="1">
      <w:start w:val="1"/>
      <w:numFmt w:val="lowerRoman"/>
      <w:lvlText w:val="%6."/>
      <w:lvlJc w:val="right"/>
      <w:pPr>
        <w:ind w:left="2520" w:hanging="180"/>
      </w:pPr>
    </w:lvl>
    <w:lvl w:ilvl="6" w:tplc="1009000F" w:tentative="1">
      <w:start w:val="1"/>
      <w:numFmt w:val="decimal"/>
      <w:lvlText w:val="%7."/>
      <w:lvlJc w:val="left"/>
      <w:pPr>
        <w:ind w:left="3240" w:hanging="360"/>
      </w:pPr>
    </w:lvl>
    <w:lvl w:ilvl="7" w:tplc="10090019" w:tentative="1">
      <w:start w:val="1"/>
      <w:numFmt w:val="lowerLetter"/>
      <w:lvlText w:val="%8."/>
      <w:lvlJc w:val="left"/>
      <w:pPr>
        <w:ind w:left="3960" w:hanging="360"/>
      </w:pPr>
    </w:lvl>
    <w:lvl w:ilvl="8" w:tplc="10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2" w15:restartNumberingAfterBreak="0">
    <w:nsid w:val="61C80AF8"/>
    <w:multiLevelType w:val="hybridMultilevel"/>
    <w:tmpl w:val="0E6ED7F6"/>
    <w:lvl w:ilvl="0" w:tplc="7B444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42014">
      <w:numFmt w:val="none"/>
      <w:lvlText w:val=""/>
      <w:lvlJc w:val="left"/>
      <w:pPr>
        <w:tabs>
          <w:tab w:val="num" w:pos="360"/>
        </w:tabs>
      </w:pPr>
    </w:lvl>
    <w:lvl w:ilvl="2" w:tplc="07849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41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00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665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6B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4B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C9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2BC1C34"/>
    <w:multiLevelType w:val="hybridMultilevel"/>
    <w:tmpl w:val="46161824"/>
    <w:lvl w:ilvl="0" w:tplc="60F29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844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CA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C0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A0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46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4F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06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87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843ABD"/>
    <w:multiLevelType w:val="hybridMultilevel"/>
    <w:tmpl w:val="6BE0DC7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027643"/>
    <w:multiLevelType w:val="hybridMultilevel"/>
    <w:tmpl w:val="657A7F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A4A97"/>
    <w:multiLevelType w:val="hybridMultilevel"/>
    <w:tmpl w:val="82A2E8D4"/>
    <w:lvl w:ilvl="0" w:tplc="9AD0C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4F764">
      <w:start w:val="1"/>
      <w:numFmt w:val="decimal"/>
      <w:lvlText w:val="(%2)"/>
      <w:lvlJc w:val="left"/>
      <w:pPr>
        <w:tabs>
          <w:tab w:val="num" w:pos="360"/>
        </w:tabs>
      </w:pPr>
      <w:rPr>
        <w:rFonts w:hint="default"/>
      </w:rPr>
    </w:lvl>
    <w:lvl w:ilvl="2" w:tplc="E8CEA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84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CB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EB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E0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322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8E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B6056B8"/>
    <w:multiLevelType w:val="hybridMultilevel"/>
    <w:tmpl w:val="D2F22FE0"/>
    <w:lvl w:ilvl="0" w:tplc="4CF6F89A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36881"/>
    <w:multiLevelType w:val="hybridMultilevel"/>
    <w:tmpl w:val="89E0C786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4"/>
  </w:num>
  <w:num w:numId="5">
    <w:abstractNumId w:val="5"/>
  </w:num>
  <w:num w:numId="6">
    <w:abstractNumId w:val="14"/>
  </w:num>
  <w:num w:numId="7">
    <w:abstractNumId w:val="16"/>
  </w:num>
  <w:num w:numId="8">
    <w:abstractNumId w:val="12"/>
  </w:num>
  <w:num w:numId="9">
    <w:abstractNumId w:val="9"/>
  </w:num>
  <w:num w:numId="10">
    <w:abstractNumId w:val="17"/>
  </w:num>
  <w:num w:numId="11">
    <w:abstractNumId w:val="6"/>
  </w:num>
  <w:num w:numId="12">
    <w:abstractNumId w:val="13"/>
  </w:num>
  <w:num w:numId="13">
    <w:abstractNumId w:val="8"/>
  </w:num>
  <w:num w:numId="14">
    <w:abstractNumId w:val="0"/>
  </w:num>
  <w:num w:numId="15">
    <w:abstractNumId w:val="10"/>
  </w:num>
  <w:num w:numId="16">
    <w:abstractNumId w:val="2"/>
  </w:num>
  <w:num w:numId="17">
    <w:abstractNumId w:val="3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38"/>
    <w:rsid w:val="00035797"/>
    <w:rsid w:val="00037A81"/>
    <w:rsid w:val="000A0119"/>
    <w:rsid w:val="000D6BC9"/>
    <w:rsid w:val="001C37B4"/>
    <w:rsid w:val="001F129E"/>
    <w:rsid w:val="00225BE4"/>
    <w:rsid w:val="00234EB6"/>
    <w:rsid w:val="0023610D"/>
    <w:rsid w:val="00252F45"/>
    <w:rsid w:val="002E6FF6"/>
    <w:rsid w:val="00317F1F"/>
    <w:rsid w:val="0036413B"/>
    <w:rsid w:val="00404C1A"/>
    <w:rsid w:val="00487378"/>
    <w:rsid w:val="004A2238"/>
    <w:rsid w:val="004A392D"/>
    <w:rsid w:val="004A4F57"/>
    <w:rsid w:val="004B347D"/>
    <w:rsid w:val="004B69F7"/>
    <w:rsid w:val="004F1B03"/>
    <w:rsid w:val="004F20C3"/>
    <w:rsid w:val="0057735C"/>
    <w:rsid w:val="00624B02"/>
    <w:rsid w:val="00695E04"/>
    <w:rsid w:val="006C7751"/>
    <w:rsid w:val="006D72AA"/>
    <w:rsid w:val="00710D94"/>
    <w:rsid w:val="0076414E"/>
    <w:rsid w:val="00767151"/>
    <w:rsid w:val="007707B1"/>
    <w:rsid w:val="00794C32"/>
    <w:rsid w:val="007D6DDD"/>
    <w:rsid w:val="007F536D"/>
    <w:rsid w:val="00862EE9"/>
    <w:rsid w:val="009A3191"/>
    <w:rsid w:val="009B1D63"/>
    <w:rsid w:val="009B65DE"/>
    <w:rsid w:val="009D0F25"/>
    <w:rsid w:val="00A03E97"/>
    <w:rsid w:val="00A13B5F"/>
    <w:rsid w:val="00A17860"/>
    <w:rsid w:val="00A4736E"/>
    <w:rsid w:val="00A963FC"/>
    <w:rsid w:val="00AB69CD"/>
    <w:rsid w:val="00AD71CE"/>
    <w:rsid w:val="00B93223"/>
    <w:rsid w:val="00B95A7B"/>
    <w:rsid w:val="00C029AC"/>
    <w:rsid w:val="00C442F5"/>
    <w:rsid w:val="00C93AB7"/>
    <w:rsid w:val="00CC034D"/>
    <w:rsid w:val="00CC492C"/>
    <w:rsid w:val="00CD7638"/>
    <w:rsid w:val="00D57153"/>
    <w:rsid w:val="00D83F89"/>
    <w:rsid w:val="00EC78A2"/>
    <w:rsid w:val="00ED5C31"/>
    <w:rsid w:val="00F17B57"/>
    <w:rsid w:val="00F61F85"/>
    <w:rsid w:val="00F72078"/>
    <w:rsid w:val="00F85186"/>
    <w:rsid w:val="00FA1C34"/>
    <w:rsid w:val="00FA62DB"/>
    <w:rsid w:val="00FB11EB"/>
    <w:rsid w:val="00FC4D51"/>
    <w:rsid w:val="00FE363E"/>
    <w:rsid w:val="00FE7EAF"/>
    <w:rsid w:val="00FF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BE3E2"/>
  <w15:chartTrackingRefBased/>
  <w15:docId w15:val="{70580463-C509-4861-AD2E-642E922C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customStyle="1" w:styleId="mainparagraph1">
    <w:name w:val="mainparagraph1"/>
    <w:basedOn w:val="Normal"/>
    <w:rsid w:val="00CD7638"/>
    <w:pPr>
      <w:spacing w:after="24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D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A13B5F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B5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03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3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03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717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898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06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476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351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55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008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608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29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5353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057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95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368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1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1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7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2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70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4356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207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6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59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56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03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5751">
          <w:marLeft w:val="28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4461">
          <w:marLeft w:val="28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092">
          <w:marLeft w:val="115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8166">
          <w:marLeft w:val="115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5538">
          <w:marLeft w:val="115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7720">
          <w:marLeft w:val="115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069">
          <w:marLeft w:val="28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86DF-97E8-45B3-8BBD-43E87439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Nastasi, Liz (MAG)</dc:creator>
  <cp:keywords/>
  <dc:description/>
  <cp:lastModifiedBy>Laura Bast</cp:lastModifiedBy>
  <cp:revision>9</cp:revision>
  <dcterms:created xsi:type="dcterms:W3CDTF">2021-08-01T22:19:00Z</dcterms:created>
  <dcterms:modified xsi:type="dcterms:W3CDTF">2021-08-04T14:17:00Z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lnastasi@theredwood.com</vt:lpwstr>
  </property>
  <property fmtid="{D5CDD505-2E9C-101B-9397-08002B2CF9AE}" pid="5" name="MSIP_Label_034a106e-6316-442c-ad35-738afd673d2b_SetDate">
    <vt:lpwstr>2021-08-01T20:26:12.2430223Z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5b7e461d-bcdd-45b8-98f4-43064bf15de1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</Properties>
</file>